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91CFE" w14:textId="77777777" w:rsidR="007D4F4B" w:rsidRPr="000221AE" w:rsidRDefault="000301B2" w:rsidP="007D4F4B">
      <w:pPr>
        <w:jc w:val="both"/>
        <w:rPr>
          <w:rFonts w:ascii="Titillium" w:hAnsi="Titillium"/>
        </w:rPr>
      </w:pPr>
      <w:r>
        <w:rPr>
          <w:rFonts w:ascii="Arial" w:hAnsi="Arial" w:cs="Arial"/>
          <w:b/>
          <w:bCs/>
          <w:sz w:val="16"/>
          <w:szCs w:val="16"/>
        </w:rPr>
        <w:tab/>
      </w:r>
      <w:r>
        <w:rPr>
          <w:rFonts w:ascii="Arial" w:hAnsi="Arial" w:cs="Arial"/>
          <w:b/>
          <w:bCs/>
          <w:sz w:val="16"/>
          <w:szCs w:val="16"/>
        </w:rPr>
        <w:tab/>
      </w:r>
      <w:r w:rsidR="007D4F4B" w:rsidRPr="000221AE">
        <w:rPr>
          <w:rFonts w:ascii="Titillium" w:hAnsi="Titillium" w:cstheme="minorHAnsi"/>
          <w:b/>
          <w:noProof/>
          <w:sz w:val="40"/>
          <w:szCs w:val="40"/>
        </w:rPr>
        <w:drawing>
          <wp:inline distT="0" distB="0" distL="0" distR="0" wp14:anchorId="3EFA2AAB" wp14:editId="1E43BAB0">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4AA00AF" w14:textId="77777777" w:rsidR="007D4F4B" w:rsidRPr="00417F55" w:rsidRDefault="007D4F4B" w:rsidP="007D4F4B">
      <w:pPr>
        <w:jc w:val="center"/>
        <w:rPr>
          <w:rFonts w:ascii="Titillium Regular Upright" w:hAnsi="Titillium Regular Upright" w:cstheme="minorHAnsi"/>
          <w:b/>
          <w:sz w:val="40"/>
          <w:szCs w:val="40"/>
        </w:rPr>
      </w:pPr>
      <w:bookmarkStart w:id="0" w:name="_Hlk127881265"/>
      <w:bookmarkStart w:id="1" w:name="_GoBack"/>
      <w:r w:rsidRPr="00417F55">
        <w:rPr>
          <w:rFonts w:ascii="Titillium Regular Upright" w:hAnsi="Titillium Regular Upright" w:cstheme="minorHAnsi"/>
          <w:b/>
          <w:sz w:val="40"/>
          <w:szCs w:val="40"/>
        </w:rPr>
        <w:t>Centro Nazionale HPC, Big Data e Quantum Computing</w:t>
      </w:r>
    </w:p>
    <w:p w14:paraId="48E90D32" w14:textId="77777777" w:rsidR="007D4F4B" w:rsidRPr="00417F55" w:rsidRDefault="007D4F4B" w:rsidP="007D4F4B">
      <w:pPr>
        <w:pStyle w:val="Default"/>
        <w:jc w:val="center"/>
        <w:rPr>
          <w:rFonts w:ascii="Titillium Regular Upright" w:eastAsia="Times New Roman" w:hAnsi="Titillium Regular Upright" w:cs="Calibri"/>
          <w:b/>
          <w:bCs/>
          <w:sz w:val="28"/>
          <w:szCs w:val="28"/>
          <w:lang w:val="it-IT" w:eastAsia="it-IT"/>
        </w:rPr>
      </w:pPr>
      <w:r w:rsidRPr="00417F55">
        <w:rPr>
          <w:rFonts w:ascii="Titillium Regular Upright" w:eastAsia="Times New Roman" w:hAnsi="Titillium Regular Upright" w:cs="Calibri"/>
          <w:b/>
          <w:bCs/>
          <w:sz w:val="28"/>
          <w:szCs w:val="28"/>
          <w:lang w:val="it-IT" w:eastAsia="it-IT"/>
        </w:rPr>
        <w:t>Missione 4, Componente 2, Investimento 1.4</w:t>
      </w:r>
    </w:p>
    <w:p w14:paraId="2FAC05EA" w14:textId="6C0A7446" w:rsidR="007D4F4B" w:rsidRPr="00417F55" w:rsidRDefault="007D4F4B" w:rsidP="007D4F4B">
      <w:pPr>
        <w:jc w:val="center"/>
        <w:rPr>
          <w:rFonts w:ascii="Titillium Regular Upright" w:hAnsi="Titillium Regular Upright" w:cs="Calibri"/>
          <w:b/>
          <w:bCs/>
          <w:color w:val="000000"/>
          <w:sz w:val="28"/>
          <w:szCs w:val="28"/>
        </w:rPr>
      </w:pPr>
      <w:r w:rsidRPr="00417F55">
        <w:rPr>
          <w:rFonts w:ascii="Titillium Regular Upright" w:hAnsi="Titillium Regular Upright" w:cs="Calibri"/>
          <w:b/>
          <w:bCs/>
          <w:color w:val="000000"/>
          <w:sz w:val="28"/>
          <w:szCs w:val="28"/>
        </w:rPr>
        <w:t>Codice progetto MUR: CN_00000013 - CUP: E63C22000980007</w:t>
      </w:r>
      <w:r w:rsidR="00BB445F" w:rsidRPr="00417F55">
        <w:rPr>
          <w:rFonts w:ascii="Titillium Regular Upright" w:hAnsi="Titillium Regular Upright" w:cs="Calibri"/>
          <w:b/>
          <w:bCs/>
          <w:color w:val="000000"/>
          <w:sz w:val="28"/>
          <w:szCs w:val="28"/>
        </w:rPr>
        <w:t xml:space="preserve"> – </w:t>
      </w:r>
      <w:proofErr w:type="spellStart"/>
      <w:r w:rsidR="00BB445F" w:rsidRPr="00417F55">
        <w:rPr>
          <w:rFonts w:ascii="Titillium Regular Upright" w:hAnsi="Titillium Regular Upright" w:cs="Calibri"/>
          <w:b/>
          <w:bCs/>
          <w:color w:val="000000"/>
          <w:sz w:val="28"/>
          <w:szCs w:val="28"/>
        </w:rPr>
        <w:t>Spoke</w:t>
      </w:r>
      <w:proofErr w:type="spellEnd"/>
      <w:r w:rsidR="00BB445F" w:rsidRPr="00417F55">
        <w:rPr>
          <w:rFonts w:ascii="Titillium Regular Upright" w:hAnsi="Titillium Regular Upright" w:cs="Calibri"/>
          <w:b/>
          <w:bCs/>
          <w:color w:val="000000"/>
          <w:sz w:val="28"/>
          <w:szCs w:val="28"/>
        </w:rPr>
        <w:t xml:space="preserve"> 10</w:t>
      </w:r>
    </w:p>
    <w:p w14:paraId="756BB82C" w14:textId="77777777" w:rsidR="007D4F4B" w:rsidRPr="00417F55" w:rsidRDefault="007D4F4B" w:rsidP="007D4F4B">
      <w:pPr>
        <w:jc w:val="center"/>
        <w:rPr>
          <w:rFonts w:ascii="Titillium Regular Upright" w:hAnsi="Titillium Regular Upright" w:cs="Calibri"/>
          <w:color w:val="000000"/>
        </w:rPr>
      </w:pPr>
    </w:p>
    <w:bookmarkEnd w:id="0"/>
    <w:p w14:paraId="40856BD7" w14:textId="77777777" w:rsidR="007D4F4B" w:rsidRPr="00417F55" w:rsidRDefault="007D4F4B" w:rsidP="007D4F4B">
      <w:pPr>
        <w:jc w:val="center"/>
        <w:rPr>
          <w:rFonts w:ascii="Titillium Regular Upright" w:hAnsi="Titillium Regular Upright" w:cs="Calibri"/>
          <w:b/>
          <w:bCs/>
          <w:color w:val="000000"/>
          <w:sz w:val="28"/>
          <w:szCs w:val="28"/>
        </w:rPr>
      </w:pPr>
      <w:r w:rsidRPr="00417F55">
        <w:rPr>
          <w:rFonts w:ascii="Titillium Regular Upright" w:hAnsi="Titillium Regular Upright" w:cs="Calibri"/>
          <w:noProof/>
          <w:color w:val="000000"/>
        </w:rPr>
        <w:drawing>
          <wp:inline distT="0" distB="0" distL="0" distR="0" wp14:anchorId="275DC03D" wp14:editId="52A4B6E1">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5986FAAF" w14:textId="77777777" w:rsidR="007D4F4B" w:rsidRPr="00417F55" w:rsidRDefault="007D4F4B" w:rsidP="007D4F4B">
      <w:pPr>
        <w:rPr>
          <w:rFonts w:ascii="Titillium Regular Upright" w:hAnsi="Titillium Regular Upright"/>
          <w:sz w:val="30"/>
          <w:szCs w:val="30"/>
        </w:rPr>
      </w:pPr>
    </w:p>
    <w:p w14:paraId="127CFBBF" w14:textId="2A4BF4C6" w:rsidR="00806A89" w:rsidRPr="00417F55" w:rsidRDefault="00806A89" w:rsidP="007D4F4B">
      <w:pPr>
        <w:widowControl w:val="0"/>
        <w:tabs>
          <w:tab w:val="left" w:pos="850"/>
          <w:tab w:val="center" w:pos="5153"/>
        </w:tabs>
        <w:spacing w:line="360" w:lineRule="auto"/>
        <w:ind w:left="630" w:hanging="630"/>
        <w:jc w:val="center"/>
        <w:rPr>
          <w:rFonts w:ascii="Titillium Regular Upright" w:hAnsi="Titillium Regular Upright" w:cs="Arial"/>
          <w:b/>
          <w:bCs/>
          <w:sz w:val="16"/>
          <w:szCs w:val="16"/>
        </w:rPr>
      </w:pPr>
    </w:p>
    <w:p w14:paraId="5DBFDD2D" w14:textId="578BD6ED" w:rsidR="00AB0A73" w:rsidRPr="00417F55" w:rsidRDefault="00E6332F" w:rsidP="00720319">
      <w:pPr>
        <w:pStyle w:val="Corpodeltesto2"/>
        <w:spacing w:line="240" w:lineRule="auto"/>
        <w:jc w:val="right"/>
        <w:rPr>
          <w:rFonts w:ascii="Titillium Regular Upright" w:hAnsi="Titillium Regular Upright" w:cs="Arial"/>
          <w:b/>
          <w:bCs/>
          <w:lang w:val="en-US"/>
        </w:rPr>
      </w:pPr>
      <w:r w:rsidRPr="00417F55">
        <w:rPr>
          <w:rFonts w:ascii="Titillium Regular Upright" w:hAnsi="Titillium Regular Upright" w:cs="Arial"/>
          <w:b/>
          <w:bCs/>
          <w:lang w:val="en-US"/>
        </w:rPr>
        <w:t xml:space="preserve"> </w:t>
      </w:r>
      <w:r w:rsidR="000301B2" w:rsidRPr="00417F55">
        <w:rPr>
          <w:rFonts w:ascii="Titillium Regular Upright" w:hAnsi="Titillium Regular Upright" w:cs="Arial"/>
          <w:b/>
          <w:bCs/>
          <w:lang w:val="en-US"/>
        </w:rPr>
        <w:t xml:space="preserve">Model </w:t>
      </w:r>
      <w:r w:rsidR="002F4A1E" w:rsidRPr="00417F55">
        <w:rPr>
          <w:rFonts w:ascii="Titillium Regular Upright" w:hAnsi="Titillium Regular Upright" w:cs="Arial"/>
          <w:b/>
          <w:bCs/>
          <w:lang w:val="en-US"/>
        </w:rPr>
        <w:t>D</w:t>
      </w:r>
    </w:p>
    <w:p w14:paraId="7E000692" w14:textId="5972BCFE" w:rsidR="00AB0A73" w:rsidRPr="00417F55" w:rsidRDefault="00376402" w:rsidP="00FE701F">
      <w:pPr>
        <w:pStyle w:val="Corpodeltesto2"/>
        <w:spacing w:line="240" w:lineRule="auto"/>
        <w:jc w:val="center"/>
        <w:rPr>
          <w:rFonts w:ascii="Titillium Regular Upright" w:hAnsi="Titillium Regular Upright" w:cs="Arial"/>
          <w:b/>
          <w:bCs/>
          <w:sz w:val="16"/>
          <w:szCs w:val="16"/>
          <w:lang w:val="en-US"/>
        </w:rPr>
      </w:pPr>
      <w:r w:rsidRPr="00417F55">
        <w:rPr>
          <w:rFonts w:ascii="Titillium Regular Upright" w:hAnsi="Titillium Regular Upright" w:cs="Arial"/>
          <w:b/>
          <w:bCs/>
          <w:sz w:val="20"/>
          <w:szCs w:val="20"/>
          <w:lang w:val="en-US"/>
        </w:rPr>
        <w:t xml:space="preserve">                                                                                                       </w:t>
      </w:r>
      <w:r w:rsidR="00844A3C" w:rsidRPr="00417F55">
        <w:rPr>
          <w:rFonts w:ascii="Titillium Regular Upright" w:hAnsi="Titillium Regular Upright" w:cs="Arial"/>
          <w:b/>
          <w:bCs/>
          <w:sz w:val="20"/>
          <w:szCs w:val="20"/>
          <w:lang w:val="en-US"/>
        </w:rPr>
        <w:t>Replacement declaration for cohabiting family members</w:t>
      </w:r>
    </w:p>
    <w:p w14:paraId="62091D07" w14:textId="77777777" w:rsidR="006F4122" w:rsidRPr="00417F55" w:rsidRDefault="006F4122" w:rsidP="00FE701F">
      <w:pPr>
        <w:pStyle w:val="Corpodeltesto2"/>
        <w:spacing w:line="240" w:lineRule="auto"/>
        <w:jc w:val="center"/>
        <w:rPr>
          <w:rFonts w:ascii="Titillium Regular Upright" w:hAnsi="Titillium Regular Upright" w:cs="Arial"/>
          <w:b/>
          <w:bCs/>
          <w:sz w:val="20"/>
          <w:szCs w:val="20"/>
          <w:lang w:val="en-US"/>
        </w:rPr>
      </w:pPr>
    </w:p>
    <w:p w14:paraId="12AB777A" w14:textId="77777777" w:rsidR="006F4122" w:rsidRPr="00417F55" w:rsidRDefault="006F4122" w:rsidP="00FE701F">
      <w:pPr>
        <w:pStyle w:val="Corpodeltesto2"/>
        <w:spacing w:line="240" w:lineRule="auto"/>
        <w:jc w:val="center"/>
        <w:rPr>
          <w:rFonts w:ascii="Titillium Regular Upright" w:hAnsi="Titillium Regular Upright" w:cs="Arial"/>
          <w:b/>
          <w:bCs/>
          <w:sz w:val="20"/>
          <w:szCs w:val="20"/>
          <w:lang w:val="en-US"/>
        </w:rPr>
      </w:pPr>
    </w:p>
    <w:p w14:paraId="0F772D3C" w14:textId="77777777" w:rsidR="00844A3C" w:rsidRPr="00417F55" w:rsidRDefault="00844A3C" w:rsidP="00844A3C">
      <w:pPr>
        <w:jc w:val="center"/>
        <w:rPr>
          <w:rFonts w:ascii="Titillium Regular Upright" w:hAnsi="Titillium Regular Upright" w:cs="Arial"/>
          <w:b/>
          <w:bCs/>
          <w:sz w:val="20"/>
          <w:szCs w:val="20"/>
          <w:lang w:val="en-US"/>
        </w:rPr>
      </w:pPr>
      <w:r w:rsidRPr="00417F55">
        <w:rPr>
          <w:rFonts w:ascii="Titillium Regular Upright" w:hAnsi="Titillium Regular Upright" w:cs="Arial"/>
          <w:b/>
          <w:bCs/>
          <w:sz w:val="20"/>
          <w:szCs w:val="20"/>
          <w:lang w:val="en-US"/>
        </w:rPr>
        <w:t>Substitute declaration of certification</w:t>
      </w:r>
    </w:p>
    <w:p w14:paraId="6C82CE69" w14:textId="5F969F41" w:rsidR="009423CD" w:rsidRPr="00417F55" w:rsidRDefault="00844A3C" w:rsidP="00844A3C">
      <w:pPr>
        <w:jc w:val="center"/>
        <w:rPr>
          <w:rFonts w:ascii="Titillium Regular Upright" w:hAnsi="Titillium Regular Upright" w:cs="Arial"/>
          <w:b/>
          <w:bCs/>
          <w:sz w:val="20"/>
          <w:szCs w:val="20"/>
          <w:lang w:val="en-US"/>
        </w:rPr>
      </w:pPr>
      <w:r w:rsidRPr="00417F55">
        <w:rPr>
          <w:rFonts w:ascii="Titillium Regular Upright" w:hAnsi="Titillium Regular Upright" w:cs="Arial"/>
          <w:b/>
          <w:bCs/>
          <w:sz w:val="20"/>
          <w:szCs w:val="20"/>
          <w:lang w:val="en-US"/>
        </w:rPr>
        <w:t>(Presidential Decree n. 445 of 12.28.2000)</w:t>
      </w:r>
    </w:p>
    <w:p w14:paraId="306860BF" w14:textId="77777777" w:rsidR="00844A3C" w:rsidRPr="00417F55" w:rsidRDefault="00844A3C" w:rsidP="00844A3C">
      <w:pPr>
        <w:jc w:val="center"/>
        <w:rPr>
          <w:rFonts w:ascii="Titillium Regular Upright" w:hAnsi="Titillium Regular Upright" w:cs="Arial"/>
          <w:sz w:val="20"/>
          <w:szCs w:val="20"/>
          <w:lang w:val="en-US"/>
        </w:rPr>
      </w:pPr>
    </w:p>
    <w:p w14:paraId="2D9E44B4" w14:textId="4DE47D80" w:rsidR="009423CD" w:rsidRPr="00417F55" w:rsidRDefault="00844A3C" w:rsidP="00806A89">
      <w:pPr>
        <w:pBdr>
          <w:top w:val="single" w:sz="4" w:space="1" w:color="000000"/>
          <w:left w:val="single" w:sz="4" w:space="4" w:color="000000"/>
          <w:bottom w:val="single" w:sz="4" w:space="1" w:color="000000"/>
          <w:right w:val="single" w:sz="4" w:space="4" w:color="000000"/>
        </w:pBdr>
        <w:shd w:val="clear" w:color="auto" w:fill="D8D8D8"/>
        <w:jc w:val="both"/>
        <w:rPr>
          <w:rFonts w:ascii="Titillium Regular Upright" w:hAnsi="Titillium Regular Upright"/>
          <w:b/>
          <w:bCs/>
          <w:sz w:val="20"/>
          <w:szCs w:val="20"/>
          <w:lang w:val="en-US" w:bidi="it-IT"/>
        </w:rPr>
      </w:pPr>
      <w:r w:rsidRPr="00417F55">
        <w:rPr>
          <w:rFonts w:ascii="Titillium Regular Upright" w:hAnsi="Titillium Regular Upright"/>
          <w:b/>
          <w:sz w:val="20"/>
          <w:szCs w:val="20"/>
          <w:lang w:val="en-US"/>
        </w:rPr>
        <w:t xml:space="preserve">Negotiated procedure for the purchase of </w:t>
      </w:r>
      <w:r w:rsidR="00BB445F" w:rsidRPr="00417F55">
        <w:rPr>
          <w:rFonts w:ascii="Titillium Regular Upright" w:hAnsi="Titillium Regular Upright"/>
          <w:b/>
          <w:sz w:val="20"/>
          <w:szCs w:val="20"/>
          <w:lang w:val="en-US"/>
        </w:rPr>
        <w:t xml:space="preserve">"Quantum chip composed by at least 30 superconducting quantum bits for the Quantum Computing Lab </w:t>
      </w:r>
      <w:r w:rsidRPr="00417F55">
        <w:rPr>
          <w:rFonts w:ascii="Titillium Regular Upright" w:hAnsi="Titillium Regular Upright"/>
          <w:b/>
          <w:sz w:val="20"/>
          <w:szCs w:val="20"/>
          <w:lang w:val="en-US"/>
        </w:rPr>
        <w:t>" for the needs of the National HPC Center, Big Data and Quantum Computing</w:t>
      </w:r>
      <w:r w:rsidR="00376402" w:rsidRPr="00417F55">
        <w:rPr>
          <w:rFonts w:ascii="Titillium Regular Upright" w:hAnsi="Titillium Regular Upright"/>
          <w:b/>
          <w:sz w:val="20"/>
          <w:szCs w:val="20"/>
          <w:lang w:val="en-US"/>
        </w:rPr>
        <w:t>,</w:t>
      </w:r>
      <w:r w:rsidRPr="00417F55">
        <w:rPr>
          <w:rFonts w:ascii="Titillium Regular Upright" w:hAnsi="Titillium Regular Upright"/>
          <w:b/>
          <w:sz w:val="20"/>
          <w:szCs w:val="20"/>
          <w:lang w:val="en-US"/>
        </w:rPr>
        <w:t xml:space="preserve"> Mission 4, Component 2, Investment 1.4</w:t>
      </w:r>
      <w:r w:rsidR="00376402" w:rsidRPr="00417F55">
        <w:rPr>
          <w:rFonts w:ascii="Titillium Regular Upright" w:hAnsi="Titillium Regular Upright"/>
          <w:b/>
          <w:sz w:val="20"/>
          <w:szCs w:val="20"/>
          <w:lang w:val="en-US"/>
        </w:rPr>
        <w:t>,</w:t>
      </w:r>
      <w:r w:rsidRPr="00417F55">
        <w:rPr>
          <w:rFonts w:ascii="Titillium Regular Upright" w:hAnsi="Titillium Regular Upright"/>
          <w:b/>
          <w:sz w:val="20"/>
          <w:szCs w:val="20"/>
          <w:lang w:val="en-US"/>
        </w:rPr>
        <w:t xml:space="preserve"> MUR project code: CN_00000013 - CUP: E63C22000980007</w:t>
      </w:r>
    </w:p>
    <w:p w14:paraId="2BBE7972" w14:textId="77777777" w:rsidR="001709CA" w:rsidRPr="00417F55" w:rsidRDefault="001709CA" w:rsidP="005D177A">
      <w:pPr>
        <w:spacing w:line="360" w:lineRule="auto"/>
        <w:rPr>
          <w:rFonts w:ascii="Titillium Regular Upright" w:hAnsi="Titillium Regular Upright" w:cs="Arial"/>
          <w:sz w:val="20"/>
          <w:szCs w:val="20"/>
          <w:lang w:val="en-US"/>
        </w:rPr>
      </w:pPr>
    </w:p>
    <w:p w14:paraId="4545CBE7" w14:textId="126E00D1" w:rsidR="00FE701F" w:rsidRPr="00417F55" w:rsidRDefault="00844A3C" w:rsidP="006F4122">
      <w:pPr>
        <w:spacing w:line="360" w:lineRule="auto"/>
        <w:jc w:val="both"/>
        <w:rPr>
          <w:rFonts w:ascii="Titillium Regular Upright" w:hAnsi="Titillium Regular Upright" w:cs="Arial"/>
          <w:sz w:val="20"/>
          <w:szCs w:val="20"/>
          <w:lang w:val="en-US"/>
        </w:rPr>
      </w:pPr>
      <w:r w:rsidRPr="00417F55">
        <w:rPr>
          <w:rFonts w:ascii="Titillium Regular Upright" w:hAnsi="Titillium Regular Upright" w:cs="Arial"/>
          <w:sz w:val="20"/>
          <w:szCs w:val="20"/>
          <w:lang w:val="en-US"/>
        </w:rPr>
        <w:t>The</w:t>
      </w:r>
      <w:r w:rsidR="00A244B1" w:rsidRPr="00417F55">
        <w:rPr>
          <w:rFonts w:ascii="Titillium Regular Upright" w:hAnsi="Titillium Regular Upright" w:cs="Arial"/>
          <w:sz w:val="20"/>
          <w:szCs w:val="20"/>
          <w:lang w:val="en-US"/>
        </w:rPr>
        <w:t xml:space="preserve"> </w:t>
      </w:r>
      <w:r w:rsidRPr="00417F55">
        <w:rPr>
          <w:rFonts w:ascii="Titillium Regular Upright" w:hAnsi="Titillium Regular Upright" w:cs="Arial"/>
          <w:sz w:val="20"/>
          <w:szCs w:val="20"/>
          <w:lang w:val="en-US"/>
        </w:rPr>
        <w:t>undersigned</w:t>
      </w:r>
      <w:r w:rsidR="00FE701F" w:rsidRPr="00417F55">
        <w:rPr>
          <w:rFonts w:ascii="Titillium Regular Upright" w:hAnsi="Titillium Regular Upright" w:cs="Arial"/>
          <w:sz w:val="20"/>
          <w:szCs w:val="20"/>
          <w:lang w:val="en-US"/>
        </w:rPr>
        <w:t xml:space="preserve"> </w:t>
      </w:r>
      <w:r w:rsidR="00A244B1" w:rsidRPr="00417F55">
        <w:rPr>
          <w:rFonts w:ascii="Titillium Regular Upright" w:hAnsi="Titillium Regular Upright" w:cs="Arial"/>
          <w:sz w:val="20"/>
          <w:szCs w:val="20"/>
          <w:lang w:val="en-US"/>
        </w:rPr>
        <w:t>(n</w:t>
      </w:r>
      <w:r w:rsidRPr="00417F55">
        <w:rPr>
          <w:rFonts w:ascii="Titillium Regular Upright" w:hAnsi="Titillium Regular Upright" w:cs="Arial"/>
          <w:sz w:val="20"/>
          <w:szCs w:val="20"/>
          <w:lang w:val="en-US"/>
        </w:rPr>
        <w:t>ame</w:t>
      </w:r>
      <w:r w:rsidR="00A244B1" w:rsidRPr="00417F55">
        <w:rPr>
          <w:rFonts w:ascii="Titillium Regular Upright" w:hAnsi="Titillium Regular Upright" w:cs="Arial"/>
          <w:sz w:val="20"/>
          <w:szCs w:val="20"/>
          <w:lang w:val="en-US"/>
        </w:rPr>
        <w:t xml:space="preserve"> </w:t>
      </w:r>
      <w:r w:rsidRPr="00417F55">
        <w:rPr>
          <w:rFonts w:ascii="Titillium Regular Upright" w:hAnsi="Titillium Regular Upright" w:cs="Arial"/>
          <w:sz w:val="20"/>
          <w:szCs w:val="20"/>
          <w:lang w:val="en-US"/>
        </w:rPr>
        <w:t>and</w:t>
      </w:r>
      <w:r w:rsidR="00A244B1" w:rsidRPr="00417F55">
        <w:rPr>
          <w:rFonts w:ascii="Titillium Regular Upright" w:hAnsi="Titillium Regular Upright" w:cs="Arial"/>
          <w:sz w:val="20"/>
          <w:szCs w:val="20"/>
          <w:lang w:val="en-US"/>
        </w:rPr>
        <w:t xml:space="preserve"> </w:t>
      </w:r>
      <w:r w:rsidRPr="00417F55">
        <w:rPr>
          <w:rFonts w:ascii="Titillium Regular Upright" w:hAnsi="Titillium Regular Upright" w:cs="Arial"/>
          <w:sz w:val="20"/>
          <w:szCs w:val="20"/>
          <w:lang w:val="en-US"/>
        </w:rPr>
        <w:t>surname</w:t>
      </w:r>
      <w:r w:rsidR="00A244B1" w:rsidRPr="00417F55">
        <w:rPr>
          <w:rFonts w:ascii="Titillium Regular Upright" w:hAnsi="Titillium Regular Upright" w:cs="Arial"/>
          <w:sz w:val="20"/>
          <w:szCs w:val="20"/>
          <w:lang w:val="en-US"/>
        </w:rPr>
        <w:t xml:space="preserve">) </w:t>
      </w:r>
      <w:r w:rsidR="00FE701F" w:rsidRPr="00417F55">
        <w:rPr>
          <w:rFonts w:ascii="Titillium Regular Upright" w:hAnsi="Titillium Regular Upright" w:cs="Arial"/>
          <w:sz w:val="20"/>
          <w:szCs w:val="20"/>
          <w:lang w:val="en-US"/>
        </w:rPr>
        <w:t>_____________________________</w:t>
      </w:r>
      <w:r w:rsidR="00A244B1" w:rsidRPr="00417F55">
        <w:rPr>
          <w:rFonts w:ascii="Titillium Regular Upright" w:hAnsi="Titillium Regular Upright" w:cs="Arial"/>
          <w:sz w:val="20"/>
          <w:szCs w:val="20"/>
          <w:lang w:val="en-US"/>
        </w:rPr>
        <w:t>__________________</w:t>
      </w:r>
    </w:p>
    <w:p w14:paraId="21AC2D51" w14:textId="70BB871A" w:rsidR="00FE701F" w:rsidRPr="00417F55" w:rsidRDefault="00844A3C" w:rsidP="006F4122">
      <w:pPr>
        <w:spacing w:line="360" w:lineRule="auto"/>
        <w:jc w:val="both"/>
        <w:rPr>
          <w:rFonts w:ascii="Titillium Regular Upright" w:hAnsi="Titillium Regular Upright" w:cs="Arial"/>
          <w:sz w:val="20"/>
          <w:szCs w:val="20"/>
          <w:lang w:val="en-US"/>
        </w:rPr>
      </w:pPr>
      <w:r w:rsidRPr="00417F55">
        <w:rPr>
          <w:rFonts w:ascii="Titillium Regular Upright" w:hAnsi="Titillium Regular Upright" w:cs="Arial"/>
          <w:sz w:val="20"/>
          <w:szCs w:val="20"/>
          <w:lang w:val="en-US"/>
        </w:rPr>
        <w:t>born</w:t>
      </w:r>
      <w:r w:rsidR="00A244B1" w:rsidRPr="00417F55">
        <w:rPr>
          <w:rFonts w:ascii="Titillium Regular Upright" w:hAnsi="Titillium Regular Upright" w:cs="Arial"/>
          <w:sz w:val="20"/>
          <w:szCs w:val="20"/>
          <w:lang w:val="en-US"/>
        </w:rPr>
        <w:t xml:space="preserve"> </w:t>
      </w:r>
      <w:r w:rsidRPr="00417F55">
        <w:rPr>
          <w:rFonts w:ascii="Titillium Regular Upright" w:hAnsi="Titillium Regular Upright" w:cs="Arial"/>
          <w:sz w:val="20"/>
          <w:szCs w:val="20"/>
          <w:lang w:val="en-US"/>
        </w:rPr>
        <w:t>in</w:t>
      </w:r>
      <w:r w:rsidR="00FE701F" w:rsidRPr="00417F55">
        <w:rPr>
          <w:rFonts w:ascii="Titillium Regular Upright" w:hAnsi="Titillium Regular Upright" w:cs="Arial"/>
          <w:sz w:val="20"/>
          <w:szCs w:val="20"/>
          <w:lang w:val="en-US"/>
        </w:rPr>
        <w:t>__________________________</w:t>
      </w:r>
      <w:r w:rsidR="00A244B1" w:rsidRPr="00417F55">
        <w:rPr>
          <w:rFonts w:ascii="Titillium Regular Upright" w:hAnsi="Titillium Regular Upright" w:cs="Arial"/>
          <w:sz w:val="20"/>
          <w:szCs w:val="20"/>
          <w:lang w:val="en-US"/>
        </w:rPr>
        <w:t xml:space="preserve"> </w:t>
      </w:r>
      <w:r w:rsidR="009863ED" w:rsidRPr="00417F55">
        <w:rPr>
          <w:rFonts w:ascii="Titillium Regular Upright" w:hAnsi="Titillium Regular Upright" w:cs="Arial"/>
          <w:color w:val="000000" w:themeColor="text1"/>
          <w:sz w:val="20"/>
          <w:szCs w:val="20"/>
          <w:lang w:val="en-US"/>
        </w:rPr>
        <w:t>Province</w:t>
      </w:r>
      <w:r w:rsidR="00A244B1" w:rsidRPr="00417F55">
        <w:rPr>
          <w:rFonts w:ascii="Titillium Regular Upright" w:hAnsi="Titillium Regular Upright" w:cs="Arial"/>
          <w:sz w:val="20"/>
          <w:szCs w:val="20"/>
          <w:lang w:val="en-US"/>
        </w:rPr>
        <w:t xml:space="preserve"> ________</w:t>
      </w:r>
      <w:r w:rsidR="000B183F" w:rsidRPr="00417F55">
        <w:rPr>
          <w:rFonts w:ascii="Titillium Regular Upright" w:hAnsi="Titillium Regular Upright" w:cs="Arial"/>
          <w:sz w:val="20"/>
          <w:szCs w:val="20"/>
          <w:lang w:val="en-US"/>
        </w:rPr>
        <w:t xml:space="preserve"> </w:t>
      </w:r>
      <w:r w:rsidRPr="00417F55">
        <w:rPr>
          <w:rFonts w:ascii="Titillium Regular Upright" w:hAnsi="Titillium Regular Upright" w:cs="Arial"/>
          <w:sz w:val="20"/>
          <w:szCs w:val="20"/>
          <w:lang w:val="en-US"/>
        </w:rPr>
        <w:t>on</w:t>
      </w:r>
      <w:r w:rsidR="000B183F" w:rsidRPr="00417F55">
        <w:rPr>
          <w:rFonts w:ascii="Titillium Regular Upright" w:hAnsi="Titillium Regular Upright" w:cs="Arial"/>
          <w:sz w:val="20"/>
          <w:szCs w:val="20"/>
          <w:lang w:val="en-US"/>
        </w:rPr>
        <w:t xml:space="preserve"> ________________; </w:t>
      </w:r>
      <w:r w:rsidR="009863ED" w:rsidRPr="00417F55">
        <w:rPr>
          <w:rFonts w:ascii="Titillium Regular Upright" w:hAnsi="Titillium Regular Upright" w:cs="Arial"/>
          <w:color w:val="000000" w:themeColor="text1"/>
          <w:sz w:val="20"/>
          <w:szCs w:val="20"/>
          <w:lang w:val="en-US"/>
        </w:rPr>
        <w:t>FISCAL CODE</w:t>
      </w:r>
      <w:r w:rsidR="000B183F" w:rsidRPr="00417F55">
        <w:rPr>
          <w:rFonts w:ascii="Titillium Regular Upright" w:hAnsi="Titillium Regular Upright" w:cs="Arial"/>
          <w:color w:val="000000" w:themeColor="text1"/>
          <w:sz w:val="20"/>
          <w:szCs w:val="20"/>
          <w:lang w:val="en-US"/>
        </w:rPr>
        <w:t xml:space="preserve"> </w:t>
      </w:r>
      <w:r w:rsidR="000B183F" w:rsidRPr="00417F55">
        <w:rPr>
          <w:rFonts w:ascii="Titillium Regular Upright" w:hAnsi="Titillium Regular Upright" w:cs="Arial"/>
          <w:sz w:val="20"/>
          <w:szCs w:val="20"/>
          <w:lang w:val="en-US"/>
        </w:rPr>
        <w:t>________________________________</w:t>
      </w:r>
      <w:r w:rsidR="00FE701F" w:rsidRPr="00417F55">
        <w:rPr>
          <w:rFonts w:ascii="Titillium Regular Upright" w:hAnsi="Titillium Regular Upright" w:cs="Arial"/>
          <w:sz w:val="20"/>
          <w:szCs w:val="20"/>
          <w:lang w:val="en-US"/>
        </w:rPr>
        <w:t xml:space="preserve">resident </w:t>
      </w:r>
      <w:r w:rsidRPr="00417F55">
        <w:rPr>
          <w:rFonts w:ascii="Titillium Regular Upright" w:hAnsi="Titillium Regular Upright" w:cs="Arial"/>
          <w:sz w:val="20"/>
          <w:szCs w:val="20"/>
          <w:lang w:val="en-US"/>
        </w:rPr>
        <w:t>in</w:t>
      </w:r>
      <w:r w:rsidR="00FE701F" w:rsidRPr="00417F55">
        <w:rPr>
          <w:rFonts w:ascii="Titillium Regular Upright" w:hAnsi="Titillium Regular Upright" w:cs="Arial"/>
          <w:sz w:val="20"/>
          <w:szCs w:val="20"/>
          <w:lang w:val="en-US"/>
        </w:rPr>
        <w:t xml:space="preserve">_____________________ </w:t>
      </w:r>
      <w:r w:rsidRPr="00417F55">
        <w:rPr>
          <w:rFonts w:ascii="Titillium Regular Upright" w:hAnsi="Titillium Regular Upright" w:cs="Arial"/>
          <w:sz w:val="20"/>
          <w:szCs w:val="20"/>
          <w:lang w:val="en-US"/>
        </w:rPr>
        <w:t>street</w:t>
      </w:r>
      <w:r w:rsidR="00FE701F" w:rsidRPr="00417F55">
        <w:rPr>
          <w:rFonts w:ascii="Titillium Regular Upright" w:hAnsi="Titillium Regular Upright" w:cs="Arial"/>
          <w:sz w:val="20"/>
          <w:szCs w:val="20"/>
          <w:lang w:val="en-US"/>
        </w:rPr>
        <w:t xml:space="preserve"> ____________</w:t>
      </w:r>
      <w:r w:rsidR="0050217C" w:rsidRPr="00417F55">
        <w:rPr>
          <w:rFonts w:ascii="Titillium Regular Upright" w:hAnsi="Titillium Regular Upright" w:cs="Arial"/>
          <w:sz w:val="20"/>
          <w:szCs w:val="20"/>
          <w:lang w:val="en-US"/>
        </w:rPr>
        <w:t>_________________________n</w:t>
      </w:r>
      <w:r w:rsidRPr="00417F55">
        <w:rPr>
          <w:rFonts w:ascii="Titillium Regular Upright" w:hAnsi="Titillium Regular Upright" w:cs="Arial"/>
          <w:sz w:val="20"/>
          <w:szCs w:val="20"/>
          <w:lang w:val="en-US"/>
        </w:rPr>
        <w:t>umber</w:t>
      </w:r>
      <w:r w:rsidR="0050217C" w:rsidRPr="00417F55">
        <w:rPr>
          <w:rFonts w:ascii="Titillium Regular Upright" w:hAnsi="Titillium Regular Upright" w:cs="Arial"/>
          <w:sz w:val="20"/>
          <w:szCs w:val="20"/>
          <w:lang w:val="en-US"/>
        </w:rPr>
        <w:t>____</w:t>
      </w:r>
      <w:r w:rsidR="00A82FA3" w:rsidRPr="00417F55">
        <w:rPr>
          <w:rFonts w:ascii="Titillium Regular Upright" w:hAnsi="Titillium Regular Upright" w:cs="Arial"/>
          <w:sz w:val="20"/>
          <w:szCs w:val="20"/>
          <w:lang w:val="en-US"/>
        </w:rPr>
        <w:t>________</w:t>
      </w:r>
    </w:p>
    <w:p w14:paraId="65535271" w14:textId="06E5FD23" w:rsidR="00A82FA3" w:rsidRPr="00417F55" w:rsidRDefault="00844A3C" w:rsidP="006F4122">
      <w:pPr>
        <w:spacing w:line="360" w:lineRule="auto"/>
        <w:jc w:val="both"/>
        <w:rPr>
          <w:rFonts w:ascii="Titillium Regular Upright" w:hAnsi="Titillium Regular Upright" w:cs="Arial"/>
          <w:sz w:val="20"/>
          <w:szCs w:val="20"/>
          <w:lang w:val="en-US"/>
        </w:rPr>
      </w:pPr>
      <w:r w:rsidRPr="00417F55">
        <w:rPr>
          <w:rFonts w:ascii="Titillium Regular Upright" w:hAnsi="Titillium Regular Upright" w:cs="Arial"/>
          <w:sz w:val="20"/>
          <w:szCs w:val="20"/>
          <w:lang w:val="en-US"/>
        </w:rPr>
        <w:t>as</w:t>
      </w:r>
      <w:r w:rsidR="00A82FA3" w:rsidRPr="00417F55">
        <w:rPr>
          <w:rFonts w:ascii="Titillium Regular Upright" w:hAnsi="Titillium Regular Upright" w:cs="Arial"/>
          <w:sz w:val="20"/>
          <w:szCs w:val="20"/>
          <w:lang w:val="en-US"/>
        </w:rPr>
        <w:t>________________________________________________________________________</w:t>
      </w:r>
    </w:p>
    <w:p w14:paraId="488EA6F8" w14:textId="2BDAE110" w:rsidR="00A82FA3" w:rsidRPr="00417F55" w:rsidRDefault="00844A3C" w:rsidP="006F4122">
      <w:pPr>
        <w:spacing w:line="360" w:lineRule="auto"/>
        <w:jc w:val="both"/>
        <w:rPr>
          <w:rFonts w:ascii="Titillium Regular Upright" w:hAnsi="Titillium Regular Upright" w:cs="Arial"/>
          <w:sz w:val="20"/>
          <w:szCs w:val="20"/>
          <w:lang w:val="en-US"/>
        </w:rPr>
      </w:pPr>
      <w:r w:rsidRPr="00417F55">
        <w:rPr>
          <w:rFonts w:ascii="Titillium Regular Upright" w:hAnsi="Titillium Regular Upright" w:cs="Arial"/>
          <w:sz w:val="20"/>
          <w:szCs w:val="20"/>
          <w:lang w:val="en-US"/>
        </w:rPr>
        <w:t>of the society</w:t>
      </w:r>
      <w:r w:rsidR="00A82FA3" w:rsidRPr="00417F55">
        <w:rPr>
          <w:rFonts w:ascii="Titillium Regular Upright" w:hAnsi="Titillium Regular Upright" w:cs="Arial"/>
          <w:sz w:val="20"/>
          <w:szCs w:val="20"/>
          <w:lang w:val="en-US"/>
        </w:rPr>
        <w:t>______________________________________________________________</w:t>
      </w:r>
    </w:p>
    <w:p w14:paraId="23A863D8" w14:textId="77777777" w:rsidR="00FE701F" w:rsidRPr="00417F55" w:rsidRDefault="00FE701F" w:rsidP="00FE701F">
      <w:pPr>
        <w:spacing w:line="360" w:lineRule="auto"/>
        <w:jc w:val="both"/>
        <w:rPr>
          <w:rFonts w:ascii="Titillium Regular Upright" w:hAnsi="Titillium Regular Upright" w:cs="Arial"/>
          <w:b/>
          <w:bCs/>
          <w:sz w:val="20"/>
          <w:szCs w:val="20"/>
          <w:lang w:val="en-US"/>
        </w:rPr>
      </w:pPr>
    </w:p>
    <w:p w14:paraId="59883065" w14:textId="5E1DED14" w:rsidR="00FE701F" w:rsidRPr="00417F55" w:rsidRDefault="00844A3C" w:rsidP="00FE701F">
      <w:pPr>
        <w:jc w:val="both"/>
        <w:rPr>
          <w:rFonts w:ascii="Titillium Regular Upright" w:hAnsi="Titillium Regular Upright" w:cs="Arial"/>
          <w:sz w:val="20"/>
          <w:szCs w:val="20"/>
          <w:lang w:val="en-US"/>
        </w:rPr>
      </w:pPr>
      <w:r w:rsidRPr="00417F55">
        <w:rPr>
          <w:rFonts w:ascii="Titillium Regular Upright" w:hAnsi="Titillium Regular Upright" w:cs="Arial"/>
          <w:b/>
          <w:bCs/>
          <w:sz w:val="20"/>
          <w:szCs w:val="20"/>
          <w:lang w:val="en-US"/>
        </w:rPr>
        <w:t>aware of the penal sanctions in the event of false declarations and the consequent forfeiture of any benefits obtained (pursuant to articles 75 and 76 of Presidential Decree 445/2000) under one's own responsibility</w:t>
      </w:r>
    </w:p>
    <w:p w14:paraId="58B56DBA" w14:textId="10FE6FFD" w:rsidR="00FE701F" w:rsidRPr="00417F55" w:rsidRDefault="00FE701F" w:rsidP="00FE701F">
      <w:pPr>
        <w:jc w:val="center"/>
        <w:rPr>
          <w:rFonts w:ascii="Titillium Regular Upright" w:hAnsi="Titillium Regular Upright" w:cs="Arial"/>
          <w:b/>
          <w:bCs/>
          <w:sz w:val="20"/>
          <w:szCs w:val="20"/>
          <w:lang w:val="en-US"/>
        </w:rPr>
      </w:pPr>
      <w:r w:rsidRPr="00417F55">
        <w:rPr>
          <w:rFonts w:ascii="Titillium Regular Upright" w:hAnsi="Titillium Regular Upright" w:cs="Arial"/>
          <w:b/>
          <w:bCs/>
          <w:sz w:val="20"/>
          <w:szCs w:val="20"/>
          <w:lang w:val="en-US"/>
        </w:rPr>
        <w:t>D</w:t>
      </w:r>
      <w:r w:rsidR="00844A3C" w:rsidRPr="00417F55">
        <w:rPr>
          <w:rFonts w:ascii="Titillium Regular Upright" w:hAnsi="Titillium Regular Upright" w:cs="Arial"/>
          <w:b/>
          <w:bCs/>
          <w:sz w:val="20"/>
          <w:szCs w:val="20"/>
          <w:lang w:val="en-US"/>
        </w:rPr>
        <w:t>ECLARE</w:t>
      </w:r>
    </w:p>
    <w:p w14:paraId="433F6D02" w14:textId="77777777" w:rsidR="00BA3F79" w:rsidRPr="00417F55" w:rsidRDefault="00BA3F79" w:rsidP="00FE701F">
      <w:pPr>
        <w:jc w:val="center"/>
        <w:rPr>
          <w:rFonts w:ascii="Titillium Regular Upright" w:hAnsi="Titillium Regular Upright" w:cs="Arial"/>
          <w:b/>
          <w:bCs/>
          <w:sz w:val="20"/>
          <w:szCs w:val="20"/>
          <w:lang w:val="en-US"/>
        </w:rPr>
      </w:pPr>
    </w:p>
    <w:p w14:paraId="575F9D80" w14:textId="44CBEAE5" w:rsidR="006F4122" w:rsidRPr="00417F55" w:rsidRDefault="00844A3C" w:rsidP="00FE701F">
      <w:pPr>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 pursuant to art. 85, paragraph 3 of Legislative Decree 159/2011:</w:t>
      </w:r>
    </w:p>
    <w:p w14:paraId="5DFF356C" w14:textId="77777777" w:rsidR="00844A3C" w:rsidRPr="00417F55" w:rsidRDefault="00844A3C" w:rsidP="00FE701F">
      <w:pPr>
        <w:jc w:val="both"/>
        <w:rPr>
          <w:rFonts w:ascii="Titillium Regular Upright" w:hAnsi="Titillium Regular Upright" w:cs="Arial"/>
          <w:bCs/>
          <w:sz w:val="20"/>
          <w:szCs w:val="20"/>
          <w:lang w:val="en-US"/>
        </w:rPr>
      </w:pPr>
    </w:p>
    <w:p w14:paraId="0A2A17A3" w14:textId="6D29C349" w:rsidR="003D2D42" w:rsidRPr="00417F55" w:rsidRDefault="00844A3C" w:rsidP="006F4122">
      <w:pPr>
        <w:numPr>
          <w:ilvl w:val="0"/>
          <w:numId w:val="3"/>
        </w:num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that I currently have the following adult family members living together</w:t>
      </w:r>
      <w:r w:rsidR="00376402" w:rsidRPr="00417F55">
        <w:rPr>
          <w:rStyle w:val="Rimandonotadichiusura"/>
          <w:rFonts w:ascii="Titillium Regular Upright" w:hAnsi="Titillium Regular Upright" w:cs="Arial"/>
          <w:bCs/>
          <w:sz w:val="20"/>
          <w:szCs w:val="20"/>
          <w:lang w:val="en-US"/>
        </w:rPr>
        <w:endnoteReference w:id="1"/>
      </w:r>
      <w:r w:rsidR="003D2D42" w:rsidRPr="00417F55">
        <w:rPr>
          <w:rFonts w:ascii="Titillium Regular Upright" w:hAnsi="Titillium Regular Upright" w:cs="Arial"/>
          <w:bCs/>
          <w:sz w:val="20"/>
          <w:szCs w:val="20"/>
          <w:lang w:val="en-US"/>
        </w:rPr>
        <w:t>:</w:t>
      </w:r>
    </w:p>
    <w:p w14:paraId="0BD97D6B" w14:textId="77777777" w:rsidR="003D2D42" w:rsidRPr="00417F55" w:rsidRDefault="003D2D42" w:rsidP="006F4122">
      <w:pPr>
        <w:spacing w:line="360" w:lineRule="auto"/>
        <w:jc w:val="both"/>
        <w:rPr>
          <w:rFonts w:ascii="Titillium Regular Upright" w:hAnsi="Titillium Regular Upright" w:cs="Arial"/>
          <w:bCs/>
          <w:sz w:val="20"/>
          <w:szCs w:val="20"/>
          <w:lang w:val="en-US"/>
        </w:rPr>
      </w:pPr>
    </w:p>
    <w:p w14:paraId="31AD2400" w14:textId="2D3072E7" w:rsidR="003D2D42" w:rsidRPr="00417F55" w:rsidRDefault="000B183F" w:rsidP="006F4122">
      <w:pPr>
        <w:spacing w:line="360" w:lineRule="auto"/>
        <w:rPr>
          <w:rFonts w:ascii="Titillium Regular Upright" w:hAnsi="Titillium Regular Upright" w:cs="Arial"/>
          <w:lang w:val="en-US"/>
        </w:rPr>
      </w:pPr>
      <w:r w:rsidRPr="00417F55">
        <w:rPr>
          <w:rFonts w:ascii="Titillium Regular Upright" w:hAnsi="Titillium Regular Upright" w:cs="Arial"/>
          <w:bCs/>
          <w:sz w:val="20"/>
          <w:szCs w:val="20"/>
          <w:lang w:val="en-US"/>
        </w:rPr>
        <w:t>(N</w:t>
      </w:r>
      <w:r w:rsidR="00844A3C" w:rsidRPr="00417F55">
        <w:rPr>
          <w:rFonts w:ascii="Titillium Regular Upright" w:hAnsi="Titillium Regular Upright" w:cs="Arial"/>
          <w:bCs/>
          <w:sz w:val="20"/>
          <w:szCs w:val="20"/>
          <w:lang w:val="en-US"/>
        </w:rPr>
        <w:t>AME</w:t>
      </w:r>
      <w:r w:rsidRPr="00417F55">
        <w:rPr>
          <w:rFonts w:ascii="Titillium Regular Upright" w:hAnsi="Titillium Regular Upright" w:cs="Arial"/>
          <w:bCs/>
          <w:sz w:val="20"/>
          <w:szCs w:val="20"/>
          <w:lang w:val="en-US"/>
        </w:rPr>
        <w:t xml:space="preserve"> – </w:t>
      </w:r>
      <w:r w:rsidR="00844A3C" w:rsidRPr="00417F55">
        <w:rPr>
          <w:rFonts w:ascii="Titillium Regular Upright" w:hAnsi="Titillium Regular Upright" w:cs="Arial"/>
          <w:bCs/>
          <w:sz w:val="20"/>
          <w:szCs w:val="20"/>
          <w:lang w:val="en-US"/>
        </w:rPr>
        <w:t>SURNAME</w:t>
      </w:r>
      <w:r w:rsidRPr="00417F55">
        <w:rPr>
          <w:rFonts w:ascii="Titillium Regular Upright" w:hAnsi="Titillium Regular Upright" w:cs="Arial"/>
          <w:bCs/>
          <w:sz w:val="20"/>
          <w:szCs w:val="20"/>
          <w:lang w:val="en-US"/>
        </w:rPr>
        <w:t>- DAT</w:t>
      </w:r>
      <w:r w:rsidR="00844A3C" w:rsidRPr="00417F55">
        <w:rPr>
          <w:rFonts w:ascii="Titillium Regular Upright" w:hAnsi="Titillium Regular Upright" w:cs="Arial"/>
          <w:bCs/>
          <w:sz w:val="20"/>
          <w:szCs w:val="20"/>
          <w:lang w:val="en-US"/>
        </w:rPr>
        <w:t>E</w:t>
      </w:r>
      <w:r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AND</w:t>
      </w:r>
      <w:r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PLACE</w:t>
      </w:r>
      <w:r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OF</w:t>
      </w:r>
      <w:r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BORN</w:t>
      </w:r>
      <w:r w:rsidRPr="00417F55">
        <w:rPr>
          <w:rFonts w:ascii="Titillium Regular Upright" w:hAnsi="Titillium Regular Upright" w:cs="Arial"/>
          <w:bCs/>
          <w:sz w:val="20"/>
          <w:szCs w:val="20"/>
          <w:lang w:val="en-US"/>
        </w:rPr>
        <w:t xml:space="preserve"> – </w:t>
      </w:r>
      <w:r w:rsidR="009863ED" w:rsidRPr="00417F55">
        <w:rPr>
          <w:rFonts w:ascii="Titillium Regular Upright" w:hAnsi="Titillium Regular Upright" w:cs="Arial"/>
          <w:bCs/>
          <w:color w:val="000000" w:themeColor="text1"/>
          <w:sz w:val="20"/>
          <w:szCs w:val="20"/>
          <w:lang w:val="en-US"/>
        </w:rPr>
        <w:t xml:space="preserve">FISCAL </w:t>
      </w:r>
      <w:proofErr w:type="gramStart"/>
      <w:r w:rsidR="009863ED" w:rsidRPr="00417F55">
        <w:rPr>
          <w:rFonts w:ascii="Titillium Regular Upright" w:hAnsi="Titillium Regular Upright" w:cs="Arial"/>
          <w:bCs/>
          <w:color w:val="000000" w:themeColor="text1"/>
          <w:sz w:val="20"/>
          <w:szCs w:val="20"/>
          <w:lang w:val="en-US"/>
        </w:rPr>
        <w:t>CODE</w:t>
      </w:r>
      <w:r w:rsidRPr="00417F55">
        <w:rPr>
          <w:rFonts w:ascii="Titillium Regular Upright" w:hAnsi="Titillium Regular Upright" w:cs="Arial"/>
          <w:bCs/>
          <w:sz w:val="20"/>
          <w:szCs w:val="20"/>
          <w:lang w:val="en-US"/>
        </w:rPr>
        <w:t>)</w:t>
      </w:r>
      <w:r w:rsidR="00F52BB8" w:rsidRPr="00417F55">
        <w:rPr>
          <w:rFonts w:ascii="Titillium Regular Upright" w:hAnsi="Titillium Regular Upright" w:cs="Arial"/>
          <w:bCs/>
          <w:sz w:val="20"/>
          <w:szCs w:val="20"/>
          <w:lang w:val="en-US"/>
        </w:rPr>
        <w:t>_</w:t>
      </w:r>
      <w:proofErr w:type="gramEnd"/>
      <w:r w:rsidR="00F52BB8" w:rsidRPr="00417F55">
        <w:rPr>
          <w:rFonts w:ascii="Titillium Regular Upright" w:hAnsi="Titillium Regular Upright" w:cs="Arial"/>
          <w:bCs/>
          <w:sz w:val="20"/>
          <w:szCs w:val="20"/>
          <w:lang w:val="en-US"/>
        </w:rPr>
        <w:t>___________</w:t>
      </w:r>
    </w:p>
    <w:p w14:paraId="5A4ADB55" w14:textId="77777777" w:rsidR="003D2D42" w:rsidRPr="00417F55" w:rsidRDefault="003D2D42" w:rsidP="006F4122">
      <w:pPr>
        <w:spacing w:line="360" w:lineRule="auto"/>
        <w:jc w:val="both"/>
        <w:rPr>
          <w:rFonts w:ascii="Titillium Regular Upright" w:hAnsi="Titillium Regular Upright" w:cs="Arial"/>
          <w:bCs/>
          <w:sz w:val="20"/>
          <w:szCs w:val="20"/>
          <w:lang w:val="en-US"/>
        </w:rPr>
      </w:pPr>
    </w:p>
    <w:p w14:paraId="04CD22BA" w14:textId="77777777" w:rsidR="003D2D42" w:rsidRPr="00417F55" w:rsidRDefault="003D2D42" w:rsidP="006F4122">
      <w:pPr>
        <w:spacing w:line="360" w:lineRule="auto"/>
        <w:rPr>
          <w:rFonts w:ascii="Titillium Regular Upright" w:hAnsi="Titillium Regular Upright" w:cs="Arial"/>
          <w:lang w:val="en-US"/>
        </w:rPr>
      </w:pPr>
      <w:r w:rsidRPr="00417F55">
        <w:rPr>
          <w:rFonts w:ascii="Titillium Regular Upright" w:hAnsi="Titillium Regular Upright" w:cs="Arial"/>
          <w:bCs/>
          <w:sz w:val="20"/>
          <w:szCs w:val="20"/>
          <w:lang w:val="en-US"/>
        </w:rPr>
        <w:t>______________________________________</w:t>
      </w:r>
      <w:r w:rsidR="00F52BB8" w:rsidRPr="00417F55">
        <w:rPr>
          <w:rFonts w:ascii="Titillium Regular Upright" w:hAnsi="Titillium Regular Upright" w:cs="Arial"/>
          <w:bCs/>
          <w:sz w:val="20"/>
          <w:szCs w:val="20"/>
          <w:lang w:val="en-US"/>
        </w:rPr>
        <w:t>_____________________________</w:t>
      </w:r>
    </w:p>
    <w:p w14:paraId="4CB9DAB0" w14:textId="77777777" w:rsidR="003D2D42" w:rsidRPr="00417F55" w:rsidRDefault="003D2D42" w:rsidP="006F4122">
      <w:pPr>
        <w:spacing w:line="360" w:lineRule="auto"/>
        <w:jc w:val="both"/>
        <w:rPr>
          <w:rFonts w:ascii="Titillium Regular Upright" w:hAnsi="Titillium Regular Upright" w:cs="Arial"/>
          <w:bCs/>
          <w:sz w:val="20"/>
          <w:szCs w:val="20"/>
          <w:lang w:val="en-US"/>
        </w:rPr>
      </w:pPr>
    </w:p>
    <w:p w14:paraId="110776B8" w14:textId="77777777" w:rsidR="003D2D42" w:rsidRPr="00417F55" w:rsidRDefault="003D2D42" w:rsidP="006F4122">
      <w:p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______________________________________</w:t>
      </w:r>
      <w:r w:rsidR="00F52BB8" w:rsidRPr="00417F55">
        <w:rPr>
          <w:rFonts w:ascii="Titillium Regular Upright" w:hAnsi="Titillium Regular Upright" w:cs="Arial"/>
          <w:bCs/>
          <w:sz w:val="20"/>
          <w:szCs w:val="20"/>
          <w:lang w:val="en-US"/>
        </w:rPr>
        <w:t>_____________________________</w:t>
      </w:r>
    </w:p>
    <w:p w14:paraId="66623015" w14:textId="77777777" w:rsidR="003D2D42" w:rsidRPr="00417F55" w:rsidRDefault="003D2D42" w:rsidP="006F4122">
      <w:pPr>
        <w:spacing w:line="360" w:lineRule="auto"/>
        <w:jc w:val="both"/>
        <w:rPr>
          <w:rFonts w:ascii="Titillium Regular Upright" w:hAnsi="Titillium Regular Upright" w:cs="Arial"/>
          <w:bCs/>
          <w:sz w:val="20"/>
          <w:szCs w:val="20"/>
          <w:lang w:val="en-US"/>
        </w:rPr>
      </w:pPr>
    </w:p>
    <w:p w14:paraId="5FDB7B28" w14:textId="77777777" w:rsidR="003D2D42" w:rsidRPr="00417F55" w:rsidRDefault="003D2D42" w:rsidP="006F4122">
      <w:p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lastRenderedPageBreak/>
        <w:t>______________________________________</w:t>
      </w:r>
      <w:r w:rsidR="00F52BB8" w:rsidRPr="00417F55">
        <w:rPr>
          <w:rFonts w:ascii="Titillium Regular Upright" w:hAnsi="Titillium Regular Upright" w:cs="Arial"/>
          <w:bCs/>
          <w:sz w:val="20"/>
          <w:szCs w:val="20"/>
          <w:lang w:val="en-US"/>
        </w:rPr>
        <w:t>_____________________________</w:t>
      </w:r>
    </w:p>
    <w:p w14:paraId="02108C18" w14:textId="77777777" w:rsidR="003D2D42" w:rsidRPr="00417F55" w:rsidRDefault="003D2D42" w:rsidP="006F4122">
      <w:pPr>
        <w:spacing w:line="360" w:lineRule="auto"/>
        <w:jc w:val="both"/>
        <w:rPr>
          <w:rFonts w:ascii="Titillium Regular Upright" w:hAnsi="Titillium Regular Upright" w:cs="Arial"/>
          <w:bCs/>
          <w:sz w:val="20"/>
          <w:szCs w:val="20"/>
          <w:lang w:val="en-US"/>
        </w:rPr>
      </w:pPr>
    </w:p>
    <w:p w14:paraId="4FDB3109" w14:textId="77777777" w:rsidR="003D2D42" w:rsidRPr="00417F55" w:rsidRDefault="00901DA5" w:rsidP="006F4122">
      <w:p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______________________________________</w:t>
      </w:r>
      <w:r w:rsidR="00F52BB8" w:rsidRPr="00417F55">
        <w:rPr>
          <w:rFonts w:ascii="Titillium Regular Upright" w:hAnsi="Titillium Regular Upright" w:cs="Arial"/>
          <w:bCs/>
          <w:sz w:val="20"/>
          <w:szCs w:val="20"/>
          <w:lang w:val="en-US"/>
        </w:rPr>
        <w:t>_____________________________</w:t>
      </w:r>
    </w:p>
    <w:p w14:paraId="26F50894" w14:textId="77777777" w:rsidR="006F4122" w:rsidRPr="00417F55" w:rsidRDefault="006F4122" w:rsidP="006F4122">
      <w:pPr>
        <w:spacing w:line="360" w:lineRule="auto"/>
        <w:jc w:val="both"/>
        <w:rPr>
          <w:rFonts w:ascii="Titillium Regular Upright" w:hAnsi="Titillium Regular Upright" w:cs="Arial"/>
          <w:b/>
          <w:bCs/>
          <w:sz w:val="20"/>
          <w:szCs w:val="20"/>
          <w:lang w:val="en-US"/>
        </w:rPr>
      </w:pPr>
    </w:p>
    <w:p w14:paraId="2156EC3C" w14:textId="5FB07FD8" w:rsidR="006F4122" w:rsidRPr="00417F55" w:rsidRDefault="00844A3C" w:rsidP="006F4122">
      <w:pPr>
        <w:numPr>
          <w:ilvl w:val="0"/>
          <w:numId w:val="3"/>
        </w:num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 xml:space="preserve">and that, with reference </w:t>
      </w:r>
      <w:r w:rsidRPr="00417F55">
        <w:rPr>
          <w:rFonts w:ascii="Titillium Regular Upright" w:hAnsi="Titillium Regular Upright" w:cs="Arial"/>
          <w:bCs/>
          <w:sz w:val="20"/>
          <w:szCs w:val="20"/>
          <w:u w:val="single"/>
          <w:lang w:val="en-US"/>
        </w:rPr>
        <w:t>to the last three years</w:t>
      </w:r>
      <w:r w:rsidRPr="00417F55">
        <w:rPr>
          <w:rFonts w:ascii="Titillium Regular Upright" w:hAnsi="Titillium Regular Upright" w:cs="Arial"/>
          <w:bCs/>
          <w:sz w:val="20"/>
          <w:szCs w:val="20"/>
          <w:lang w:val="en-US"/>
        </w:rPr>
        <w:t xml:space="preserve"> (tick the option corresponding to your condition</w:t>
      </w:r>
      <w:r w:rsidR="006F4122" w:rsidRPr="00417F55">
        <w:rPr>
          <w:rFonts w:ascii="Titillium Regular Upright" w:hAnsi="Titillium Regular Upright" w:cs="Arial"/>
          <w:bCs/>
          <w:sz w:val="20"/>
          <w:szCs w:val="20"/>
          <w:lang w:val="en-US"/>
        </w:rPr>
        <w:t>):</w:t>
      </w:r>
    </w:p>
    <w:p w14:paraId="1EB184CD" w14:textId="7919E1ED" w:rsidR="006F4122" w:rsidRPr="00417F55" w:rsidRDefault="006F4122" w:rsidP="006F4122">
      <w:pPr>
        <w:numPr>
          <w:ilvl w:val="1"/>
          <w:numId w:val="3"/>
        </w:num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the family situation referred to in point 1) has not changed</w:t>
      </w:r>
    </w:p>
    <w:p w14:paraId="1B407F7F" w14:textId="77777777" w:rsidR="006F4122" w:rsidRPr="00417F55" w:rsidRDefault="006F4122" w:rsidP="006F4122">
      <w:pPr>
        <w:spacing w:line="360" w:lineRule="auto"/>
        <w:ind w:left="1080"/>
        <w:jc w:val="both"/>
        <w:rPr>
          <w:rFonts w:ascii="Titillium Regular Upright" w:hAnsi="Titillium Regular Upright" w:cs="Arial"/>
          <w:bCs/>
          <w:sz w:val="20"/>
          <w:szCs w:val="20"/>
          <w:lang w:val="en-US"/>
        </w:rPr>
      </w:pPr>
    </w:p>
    <w:p w14:paraId="1467E882" w14:textId="793E4799" w:rsidR="006F4122" w:rsidRPr="00417F55" w:rsidRDefault="00844A3C" w:rsidP="006F4122">
      <w:pPr>
        <w:numPr>
          <w:ilvl w:val="1"/>
          <w:numId w:val="3"/>
        </w:numPr>
        <w:spacing w:line="360" w:lineRule="auto"/>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the adult family members living together were the following:</w:t>
      </w:r>
    </w:p>
    <w:p w14:paraId="714F6DA2" w14:textId="77777777" w:rsidR="006F4122" w:rsidRPr="00417F55" w:rsidRDefault="006F4122" w:rsidP="006F4122">
      <w:pPr>
        <w:pStyle w:val="Paragrafoelenco"/>
        <w:spacing w:line="360" w:lineRule="auto"/>
        <w:rPr>
          <w:rFonts w:ascii="Titillium Regular Upright" w:hAnsi="Titillium Regular Upright" w:cs="Arial"/>
          <w:bCs/>
          <w:sz w:val="20"/>
          <w:szCs w:val="20"/>
          <w:lang w:val="en-US"/>
        </w:rPr>
      </w:pPr>
    </w:p>
    <w:p w14:paraId="0F2DD8B7" w14:textId="2E4B4100" w:rsidR="006F4122" w:rsidRPr="00417F55" w:rsidRDefault="006F4122" w:rsidP="006F4122">
      <w:pPr>
        <w:spacing w:line="360" w:lineRule="auto"/>
        <w:ind w:left="1080"/>
        <w:jc w:val="both"/>
        <w:rPr>
          <w:rFonts w:ascii="Titillium Regular Upright" w:hAnsi="Titillium Regular Upright" w:cs="Arial"/>
          <w:bCs/>
          <w:sz w:val="20"/>
          <w:szCs w:val="20"/>
          <w:lang w:val="en-US"/>
        </w:rPr>
      </w:pPr>
      <w:proofErr w:type="gramStart"/>
      <w:r w:rsidRPr="00417F55">
        <w:rPr>
          <w:rFonts w:ascii="Titillium Regular Upright" w:hAnsi="Titillium Regular Upright" w:cs="Arial"/>
          <w:bCs/>
          <w:sz w:val="20"/>
          <w:szCs w:val="20"/>
          <w:lang w:val="en-US"/>
        </w:rPr>
        <w:t>_</w:t>
      </w:r>
      <w:r w:rsidR="000B183F" w:rsidRPr="00417F55">
        <w:rPr>
          <w:rFonts w:ascii="Titillium Regular Upright" w:hAnsi="Titillium Regular Upright" w:cs="Arial"/>
          <w:bCs/>
          <w:sz w:val="20"/>
          <w:szCs w:val="20"/>
          <w:lang w:val="en-US"/>
        </w:rPr>
        <w:t>(</w:t>
      </w:r>
      <w:proofErr w:type="gramEnd"/>
      <w:r w:rsidR="000B183F" w:rsidRPr="00417F55">
        <w:rPr>
          <w:rFonts w:ascii="Titillium Regular Upright" w:hAnsi="Titillium Regular Upright" w:cs="Arial"/>
          <w:bCs/>
          <w:sz w:val="20"/>
          <w:szCs w:val="20"/>
          <w:lang w:val="en-US"/>
        </w:rPr>
        <w:t>N</w:t>
      </w:r>
      <w:r w:rsidR="00844A3C" w:rsidRPr="00417F55">
        <w:rPr>
          <w:rFonts w:ascii="Titillium Regular Upright" w:hAnsi="Titillium Regular Upright" w:cs="Arial"/>
          <w:bCs/>
          <w:sz w:val="20"/>
          <w:szCs w:val="20"/>
          <w:lang w:val="en-US"/>
        </w:rPr>
        <w:t>AME</w:t>
      </w:r>
      <w:r w:rsidR="000B183F" w:rsidRPr="00417F55">
        <w:rPr>
          <w:rFonts w:ascii="Titillium Regular Upright" w:hAnsi="Titillium Regular Upright" w:cs="Arial"/>
          <w:bCs/>
          <w:sz w:val="20"/>
          <w:szCs w:val="20"/>
          <w:lang w:val="en-US"/>
        </w:rPr>
        <w:t xml:space="preserve"> – </w:t>
      </w:r>
      <w:r w:rsidR="00844A3C" w:rsidRPr="00417F55">
        <w:rPr>
          <w:rFonts w:ascii="Titillium Regular Upright" w:hAnsi="Titillium Regular Upright" w:cs="Arial"/>
          <w:bCs/>
          <w:sz w:val="20"/>
          <w:szCs w:val="20"/>
          <w:lang w:val="en-US"/>
        </w:rPr>
        <w:t>SURNAME</w:t>
      </w:r>
      <w:r w:rsidR="000B183F" w:rsidRPr="00417F55">
        <w:rPr>
          <w:rFonts w:ascii="Titillium Regular Upright" w:hAnsi="Titillium Regular Upright" w:cs="Arial"/>
          <w:bCs/>
          <w:sz w:val="20"/>
          <w:szCs w:val="20"/>
          <w:lang w:val="en-US"/>
        </w:rPr>
        <w:t>- DAT</w:t>
      </w:r>
      <w:r w:rsidR="00844A3C" w:rsidRPr="00417F55">
        <w:rPr>
          <w:rFonts w:ascii="Titillium Regular Upright" w:hAnsi="Titillium Regular Upright" w:cs="Arial"/>
          <w:bCs/>
          <w:sz w:val="20"/>
          <w:szCs w:val="20"/>
          <w:lang w:val="en-US"/>
        </w:rPr>
        <w:t>E</w:t>
      </w:r>
      <w:r w:rsidR="000B183F"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AND</w:t>
      </w:r>
      <w:r w:rsidR="000B183F"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PLACE OF</w:t>
      </w:r>
      <w:r w:rsidR="000B183F" w:rsidRPr="00417F55">
        <w:rPr>
          <w:rFonts w:ascii="Titillium Regular Upright" w:hAnsi="Titillium Regular Upright" w:cs="Arial"/>
          <w:bCs/>
          <w:sz w:val="20"/>
          <w:szCs w:val="20"/>
          <w:lang w:val="en-US"/>
        </w:rPr>
        <w:t xml:space="preserve"> </w:t>
      </w:r>
      <w:r w:rsidR="00844A3C" w:rsidRPr="00417F55">
        <w:rPr>
          <w:rFonts w:ascii="Titillium Regular Upright" w:hAnsi="Titillium Regular Upright" w:cs="Arial"/>
          <w:bCs/>
          <w:sz w:val="20"/>
          <w:szCs w:val="20"/>
          <w:lang w:val="en-US"/>
        </w:rPr>
        <w:t>BORN</w:t>
      </w:r>
      <w:r w:rsidR="000B183F" w:rsidRPr="00417F55">
        <w:rPr>
          <w:rFonts w:ascii="Titillium Regular Upright" w:hAnsi="Titillium Regular Upright" w:cs="Arial"/>
          <w:bCs/>
          <w:sz w:val="20"/>
          <w:szCs w:val="20"/>
          <w:lang w:val="en-US"/>
        </w:rPr>
        <w:t xml:space="preserve"> – </w:t>
      </w:r>
      <w:r w:rsidR="009863ED" w:rsidRPr="00417F55">
        <w:rPr>
          <w:rFonts w:ascii="Titillium Regular Upright" w:hAnsi="Titillium Regular Upright" w:cs="Arial"/>
          <w:bCs/>
          <w:color w:val="000000" w:themeColor="text1"/>
          <w:sz w:val="20"/>
          <w:szCs w:val="20"/>
          <w:lang w:val="en-US"/>
        </w:rPr>
        <w:t>FISCAL CODE</w:t>
      </w:r>
      <w:r w:rsidR="000B183F" w:rsidRPr="00417F55">
        <w:rPr>
          <w:rFonts w:ascii="Titillium Regular Upright" w:hAnsi="Titillium Regular Upright" w:cs="Arial"/>
          <w:bCs/>
          <w:sz w:val="20"/>
          <w:szCs w:val="20"/>
          <w:lang w:val="en-US"/>
        </w:rPr>
        <w:t>)</w:t>
      </w:r>
    </w:p>
    <w:p w14:paraId="6CDF9781" w14:textId="77777777" w:rsidR="006F4122" w:rsidRPr="00417F55" w:rsidRDefault="006F4122" w:rsidP="006F4122">
      <w:pPr>
        <w:spacing w:line="360" w:lineRule="auto"/>
        <w:ind w:left="1080"/>
        <w:jc w:val="both"/>
        <w:rPr>
          <w:rFonts w:ascii="Titillium Regular Upright" w:hAnsi="Titillium Regular Upright" w:cs="Arial"/>
          <w:bCs/>
          <w:sz w:val="20"/>
          <w:szCs w:val="20"/>
          <w:lang w:val="en-US"/>
        </w:rPr>
      </w:pPr>
    </w:p>
    <w:p w14:paraId="58C42473" w14:textId="4DA630CE" w:rsidR="006F4122" w:rsidRPr="00417F55" w:rsidRDefault="006F4122" w:rsidP="006F4122">
      <w:pPr>
        <w:spacing w:line="360" w:lineRule="auto"/>
        <w:ind w:left="1080"/>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______________________________________________________________</w:t>
      </w:r>
    </w:p>
    <w:p w14:paraId="77B741E4" w14:textId="77777777" w:rsidR="006F4122" w:rsidRPr="00417F55" w:rsidRDefault="006F4122" w:rsidP="006F4122">
      <w:pPr>
        <w:spacing w:line="360" w:lineRule="auto"/>
        <w:ind w:left="1080"/>
        <w:jc w:val="both"/>
        <w:rPr>
          <w:rFonts w:ascii="Titillium Regular Upright" w:hAnsi="Titillium Regular Upright" w:cs="Arial"/>
          <w:bCs/>
          <w:sz w:val="20"/>
          <w:szCs w:val="20"/>
          <w:lang w:val="en-US"/>
        </w:rPr>
      </w:pPr>
    </w:p>
    <w:p w14:paraId="4C67BA2B" w14:textId="24CAFF89" w:rsidR="006F4122" w:rsidRPr="00417F55" w:rsidRDefault="006F4122" w:rsidP="006F4122">
      <w:pPr>
        <w:spacing w:line="360" w:lineRule="auto"/>
        <w:ind w:left="1080"/>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_______________________________________________________________</w:t>
      </w:r>
    </w:p>
    <w:p w14:paraId="425DE4A7" w14:textId="77777777" w:rsidR="006F4122" w:rsidRPr="00417F55" w:rsidRDefault="006F4122" w:rsidP="006F4122">
      <w:pPr>
        <w:spacing w:line="360" w:lineRule="auto"/>
        <w:ind w:left="1080"/>
        <w:jc w:val="both"/>
        <w:rPr>
          <w:rFonts w:ascii="Titillium Regular Upright" w:hAnsi="Titillium Regular Upright" w:cs="Arial"/>
          <w:bCs/>
          <w:sz w:val="20"/>
          <w:szCs w:val="20"/>
          <w:lang w:val="en-US"/>
        </w:rPr>
      </w:pPr>
    </w:p>
    <w:p w14:paraId="2719BD20" w14:textId="0C3E07A5" w:rsidR="006F4122" w:rsidRPr="00417F55" w:rsidRDefault="006F4122" w:rsidP="006F4122">
      <w:pPr>
        <w:spacing w:line="360" w:lineRule="auto"/>
        <w:ind w:left="1080"/>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_______________________________________________________________</w:t>
      </w:r>
    </w:p>
    <w:p w14:paraId="21794207" w14:textId="77777777" w:rsidR="006F4122" w:rsidRPr="00417F55" w:rsidRDefault="006F4122" w:rsidP="006F4122">
      <w:pPr>
        <w:spacing w:line="360" w:lineRule="auto"/>
        <w:ind w:left="1080"/>
        <w:jc w:val="both"/>
        <w:rPr>
          <w:rFonts w:ascii="Titillium Regular Upright" w:hAnsi="Titillium Regular Upright" w:cs="Arial"/>
          <w:bCs/>
          <w:sz w:val="20"/>
          <w:szCs w:val="20"/>
          <w:lang w:val="en-US"/>
        </w:rPr>
      </w:pPr>
    </w:p>
    <w:p w14:paraId="43E6D25F" w14:textId="7D8E135D" w:rsidR="006F4122" w:rsidRPr="00417F55" w:rsidRDefault="006F4122" w:rsidP="006F4122">
      <w:pPr>
        <w:spacing w:line="360" w:lineRule="auto"/>
        <w:ind w:left="1080"/>
        <w:jc w:val="both"/>
        <w:rPr>
          <w:rFonts w:ascii="Titillium Regular Upright" w:hAnsi="Titillium Regular Upright" w:cs="Arial"/>
          <w:bCs/>
          <w:sz w:val="20"/>
          <w:szCs w:val="20"/>
          <w:lang w:val="en-US"/>
        </w:rPr>
      </w:pPr>
      <w:r w:rsidRPr="00417F55">
        <w:rPr>
          <w:rFonts w:ascii="Titillium Regular Upright" w:hAnsi="Titillium Regular Upright" w:cs="Arial"/>
          <w:bCs/>
          <w:sz w:val="20"/>
          <w:szCs w:val="20"/>
          <w:lang w:val="en-US"/>
        </w:rPr>
        <w:t>______________________________________________________________</w:t>
      </w:r>
    </w:p>
    <w:p w14:paraId="2050DC56" w14:textId="5921A3E9" w:rsidR="00197F70" w:rsidRPr="00417F55" w:rsidRDefault="00197F70" w:rsidP="00FE701F">
      <w:pPr>
        <w:jc w:val="both"/>
        <w:rPr>
          <w:rFonts w:ascii="Titillium Regular Upright" w:hAnsi="Titillium Regular Upright" w:cs="Arial"/>
          <w:b/>
          <w:bCs/>
          <w:sz w:val="20"/>
          <w:szCs w:val="20"/>
          <w:lang w:val="en-US"/>
        </w:rPr>
      </w:pPr>
    </w:p>
    <w:p w14:paraId="7A9A0539" w14:textId="01C744E9" w:rsidR="00197F70" w:rsidRPr="00417F55" w:rsidRDefault="00197F70" w:rsidP="00FE701F">
      <w:pPr>
        <w:jc w:val="both"/>
        <w:rPr>
          <w:rFonts w:ascii="Titillium Regular Upright" w:hAnsi="Titillium Regular Upright" w:cs="Arial"/>
          <w:b/>
          <w:bCs/>
          <w:sz w:val="20"/>
          <w:szCs w:val="20"/>
          <w:lang w:val="en-US"/>
        </w:rPr>
      </w:pPr>
    </w:p>
    <w:p w14:paraId="54AB5305" w14:textId="4B9CBF62" w:rsidR="00197F70" w:rsidRPr="00417F55" w:rsidRDefault="00197F70" w:rsidP="00FE701F">
      <w:pPr>
        <w:jc w:val="both"/>
        <w:rPr>
          <w:rFonts w:ascii="Titillium Regular Upright" w:hAnsi="Titillium Regular Upright" w:cs="Arial"/>
          <w:b/>
          <w:bCs/>
          <w:sz w:val="20"/>
          <w:szCs w:val="20"/>
          <w:lang w:val="en-US"/>
        </w:rPr>
      </w:pPr>
    </w:p>
    <w:p w14:paraId="55215792" w14:textId="77777777" w:rsidR="00197F70" w:rsidRPr="00417F55" w:rsidRDefault="00197F70" w:rsidP="00197F70">
      <w:pPr>
        <w:jc w:val="both"/>
        <w:rPr>
          <w:rFonts w:ascii="Titillium Regular Upright" w:hAnsi="Titillium Regular Upright" w:cs="Arial"/>
          <w:b/>
          <w:bCs/>
          <w:sz w:val="22"/>
          <w:szCs w:val="22"/>
          <w:lang w:val="en-US"/>
        </w:rPr>
      </w:pPr>
      <w:r w:rsidRPr="00417F55">
        <w:rPr>
          <w:rFonts w:ascii="Titillium Regular Upright" w:hAnsi="Titillium Regular Upright" w:cs="Arial"/>
          <w:b/>
          <w:bCs/>
          <w:sz w:val="22"/>
          <w:szCs w:val="22"/>
          <w:lang w:val="en-US"/>
        </w:rPr>
        <w:t>______________________                         ______________________________________________</w:t>
      </w:r>
    </w:p>
    <w:p w14:paraId="7B295A25" w14:textId="6E165276" w:rsidR="00197F70" w:rsidRPr="00417F55" w:rsidRDefault="00197F70" w:rsidP="00197F70">
      <w:pPr>
        <w:jc w:val="both"/>
        <w:rPr>
          <w:rFonts w:ascii="Titillium Regular Upright" w:hAnsi="Titillium Regular Upright" w:cs="Arial"/>
          <w:sz w:val="22"/>
          <w:szCs w:val="22"/>
          <w:lang w:val="en-US"/>
        </w:rPr>
      </w:pPr>
      <w:r w:rsidRPr="00417F55">
        <w:rPr>
          <w:rFonts w:ascii="Titillium Regular Upright" w:hAnsi="Titillium Regular Upright" w:cs="Arial"/>
          <w:sz w:val="22"/>
          <w:szCs w:val="22"/>
          <w:lang w:val="en-US"/>
        </w:rPr>
        <w:t xml:space="preserve">             dat</w:t>
      </w:r>
      <w:r w:rsidR="00844A3C" w:rsidRPr="00417F55">
        <w:rPr>
          <w:rFonts w:ascii="Titillium Regular Upright" w:hAnsi="Titillium Regular Upright" w:cs="Arial"/>
          <w:sz w:val="22"/>
          <w:szCs w:val="22"/>
          <w:lang w:val="en-US"/>
        </w:rPr>
        <w:t>e</w:t>
      </w:r>
      <w:r w:rsidRPr="00417F55">
        <w:rPr>
          <w:rFonts w:ascii="Titillium Regular Upright" w:hAnsi="Titillium Regular Upright" w:cs="Arial"/>
          <w:sz w:val="22"/>
          <w:szCs w:val="22"/>
          <w:lang w:val="en-US"/>
        </w:rPr>
        <w:t xml:space="preserve">                  </w:t>
      </w:r>
    </w:p>
    <w:p w14:paraId="7C744309" w14:textId="06D86292" w:rsidR="00197F70" w:rsidRPr="00417F55" w:rsidRDefault="00197F70" w:rsidP="00197F70">
      <w:pPr>
        <w:jc w:val="both"/>
        <w:rPr>
          <w:rFonts w:ascii="Titillium Regular Upright" w:hAnsi="Titillium Regular Upright" w:cs="Arial"/>
          <w:sz w:val="22"/>
          <w:szCs w:val="22"/>
          <w:lang w:val="en-US"/>
        </w:rPr>
      </w:pPr>
      <w:r w:rsidRPr="00417F55">
        <w:rPr>
          <w:rFonts w:ascii="Titillium Regular Upright" w:hAnsi="Titillium Regular Upright" w:cs="Arial"/>
          <w:sz w:val="22"/>
          <w:szCs w:val="22"/>
          <w:lang w:val="en-US"/>
        </w:rPr>
        <w:t xml:space="preserve">                                                </w:t>
      </w:r>
      <w:r w:rsidRPr="00417F55">
        <w:rPr>
          <w:rFonts w:ascii="Titillium Regular Upright" w:hAnsi="Titillium Regular Upright" w:cs="Arial"/>
          <w:sz w:val="22"/>
          <w:szCs w:val="22"/>
          <w:lang w:val="en-US"/>
        </w:rPr>
        <w:tab/>
      </w:r>
      <w:r w:rsidRPr="00417F55">
        <w:rPr>
          <w:rFonts w:ascii="Titillium Regular Upright" w:hAnsi="Titillium Regular Upright" w:cs="Arial"/>
          <w:sz w:val="22"/>
          <w:szCs w:val="22"/>
          <w:lang w:val="en-US"/>
        </w:rPr>
        <w:tab/>
      </w:r>
      <w:r w:rsidRPr="00417F55">
        <w:rPr>
          <w:rFonts w:ascii="Titillium Regular Upright" w:hAnsi="Titillium Regular Upright" w:cs="Arial"/>
          <w:sz w:val="22"/>
          <w:szCs w:val="22"/>
          <w:lang w:val="en-US"/>
        </w:rPr>
        <w:tab/>
      </w:r>
      <w:r w:rsidRPr="00417F55">
        <w:rPr>
          <w:rFonts w:ascii="Titillium Regular Upright" w:hAnsi="Titillium Regular Upright" w:cs="Arial"/>
          <w:sz w:val="22"/>
          <w:szCs w:val="22"/>
          <w:lang w:val="en-US"/>
        </w:rPr>
        <w:tab/>
      </w:r>
      <w:r w:rsidR="00844A3C" w:rsidRPr="00417F55">
        <w:rPr>
          <w:rFonts w:ascii="Titillium Regular Upright" w:hAnsi="Titillium Regular Upright" w:cs="Arial"/>
          <w:sz w:val="22"/>
          <w:szCs w:val="22"/>
          <w:lang w:val="en-US"/>
        </w:rPr>
        <w:t xml:space="preserve">signature of the declarant </w:t>
      </w:r>
      <w:r w:rsidRPr="00417F55">
        <w:rPr>
          <w:rFonts w:ascii="Titillium Regular Upright" w:hAnsi="Titillium Regular Upright" w:cs="Arial"/>
          <w:sz w:val="22"/>
          <w:szCs w:val="22"/>
          <w:lang w:val="en-US"/>
        </w:rPr>
        <w:t>(</w:t>
      </w:r>
      <w:r w:rsidR="00376402" w:rsidRPr="00417F55">
        <w:rPr>
          <w:rStyle w:val="Rimandonotadichiusura"/>
          <w:rFonts w:ascii="Titillium Regular Upright" w:hAnsi="Titillium Regular Upright" w:cs="Arial"/>
          <w:sz w:val="22"/>
          <w:szCs w:val="22"/>
          <w:lang w:val="en-US"/>
        </w:rPr>
        <w:endnoteReference w:id="2"/>
      </w:r>
      <w:r w:rsidRPr="00417F55">
        <w:rPr>
          <w:rFonts w:ascii="Titillium Regular Upright" w:hAnsi="Titillium Regular Upright" w:cs="Arial"/>
          <w:sz w:val="22"/>
          <w:szCs w:val="22"/>
          <w:lang w:val="en-US"/>
        </w:rPr>
        <w:t xml:space="preserve">)                  </w:t>
      </w:r>
    </w:p>
    <w:p w14:paraId="133CAB61" w14:textId="77777777" w:rsidR="00197F70" w:rsidRPr="00417F55" w:rsidRDefault="00197F70" w:rsidP="00197F70">
      <w:pPr>
        <w:jc w:val="both"/>
        <w:rPr>
          <w:rFonts w:ascii="Titillium Regular Upright" w:hAnsi="Titillium Regular Upright" w:cs="Arial"/>
          <w:sz w:val="22"/>
          <w:szCs w:val="22"/>
          <w:lang w:val="en-US"/>
        </w:rPr>
      </w:pPr>
    </w:p>
    <w:p w14:paraId="5766F7E7" w14:textId="77777777" w:rsidR="00197F70" w:rsidRPr="00417F55" w:rsidRDefault="00197F70" w:rsidP="00FE701F">
      <w:pPr>
        <w:jc w:val="both"/>
        <w:rPr>
          <w:rFonts w:ascii="Titillium Regular Upright" w:hAnsi="Titillium Regular Upright" w:cs="Arial"/>
          <w:b/>
          <w:bCs/>
          <w:sz w:val="20"/>
          <w:szCs w:val="20"/>
          <w:lang w:val="en-US"/>
        </w:rPr>
      </w:pPr>
    </w:p>
    <w:p w14:paraId="19EE77CD" w14:textId="77777777" w:rsidR="00197F70" w:rsidRPr="00417F55" w:rsidRDefault="00197F70" w:rsidP="00197F70">
      <w:pPr>
        <w:jc w:val="both"/>
        <w:rPr>
          <w:rFonts w:ascii="Titillium Regular Upright" w:hAnsi="Titillium Regular Upright" w:cs="Arial"/>
          <w:sz w:val="22"/>
          <w:szCs w:val="22"/>
          <w:lang w:val="en-US"/>
        </w:rPr>
      </w:pPr>
    </w:p>
    <w:p w14:paraId="6C76B808" w14:textId="77777777" w:rsidR="00197F70" w:rsidRPr="00417F55" w:rsidRDefault="00197F70" w:rsidP="00197F70">
      <w:pPr>
        <w:autoSpaceDE w:val="0"/>
        <w:autoSpaceDN w:val="0"/>
        <w:adjustRightInd w:val="0"/>
        <w:jc w:val="both"/>
        <w:rPr>
          <w:rFonts w:ascii="Titillium Regular Upright" w:hAnsi="Titillium Regular Upright"/>
          <w:sz w:val="16"/>
          <w:szCs w:val="16"/>
          <w:lang w:val="en-US"/>
        </w:rPr>
      </w:pPr>
    </w:p>
    <w:p w14:paraId="217EEC77" w14:textId="67F425E3" w:rsidR="00197F70" w:rsidRPr="00417F55" w:rsidRDefault="00844A3C" w:rsidP="00197F70">
      <w:pPr>
        <w:numPr>
          <w:ilvl w:val="3"/>
          <w:numId w:val="4"/>
        </w:numPr>
        <w:tabs>
          <w:tab w:val="left" w:pos="-851"/>
        </w:tabs>
        <w:ind w:left="709" w:right="-1" w:hanging="567"/>
        <w:jc w:val="both"/>
        <w:rPr>
          <w:rFonts w:ascii="Titillium Regular Upright" w:hAnsi="Titillium Regular Upright"/>
          <w:sz w:val="16"/>
          <w:szCs w:val="16"/>
          <w:lang w:val="en-US"/>
        </w:rPr>
      </w:pPr>
      <w:bookmarkStart w:id="2" w:name="_Toc393476565"/>
      <w:bookmarkStart w:id="3" w:name="_Toc501101156"/>
      <w:r w:rsidRPr="00417F55">
        <w:rPr>
          <w:rFonts w:ascii="Titillium Regular Upright" w:hAnsi="Titillium Regular Upright"/>
          <w:sz w:val="16"/>
          <w:szCs w:val="16"/>
          <w:lang w:val="en-US"/>
        </w:rPr>
        <w:t>Disclosure pursuant to article 13 of Regulation (EU) 679/2016 laying down rules on the processing of personal data</w:t>
      </w:r>
      <w:r w:rsidR="00197F70" w:rsidRPr="00417F55">
        <w:rPr>
          <w:rFonts w:ascii="Titillium Regular Upright" w:hAnsi="Titillium Regular Upright"/>
          <w:sz w:val="16"/>
          <w:szCs w:val="16"/>
          <w:lang w:val="en-US"/>
        </w:rPr>
        <w:t>.</w:t>
      </w:r>
    </w:p>
    <w:p w14:paraId="17D2CB4A" w14:textId="77777777" w:rsidR="00844A3C" w:rsidRPr="00417F55" w:rsidRDefault="00844A3C" w:rsidP="00197F70">
      <w:pPr>
        <w:tabs>
          <w:tab w:val="left" w:pos="-851"/>
        </w:tabs>
        <w:ind w:right="-1"/>
        <w:jc w:val="both"/>
        <w:rPr>
          <w:rFonts w:ascii="Titillium Regular Upright" w:hAnsi="Titillium Regular Upright"/>
          <w:sz w:val="16"/>
          <w:szCs w:val="16"/>
          <w:lang w:val="en-US"/>
        </w:rPr>
      </w:pPr>
      <w:r w:rsidRPr="00417F55">
        <w:rPr>
          <w:rFonts w:ascii="Titillium Regular Upright" w:hAnsi="Titillium Regular Upright"/>
          <w:sz w:val="16"/>
          <w:szCs w:val="16"/>
          <w:lang w:val="en-US"/>
        </w:rPr>
        <w:t>The data collected with this form are processed for the purposes of the procedure for which they are issued and will be used exclusively for this purpose and, in any case, within the institutional activities of the University of Naples Federico II. The interested party has the rights referred to in articles 15-22 of the EU Regulation.</w:t>
      </w:r>
    </w:p>
    <w:p w14:paraId="2515C45B" w14:textId="01E20616" w:rsidR="00844A3C" w:rsidRPr="00417F55" w:rsidRDefault="00844A3C" w:rsidP="00197F70">
      <w:pPr>
        <w:tabs>
          <w:tab w:val="left" w:pos="-851"/>
        </w:tabs>
        <w:ind w:right="-1"/>
        <w:jc w:val="both"/>
        <w:rPr>
          <w:rFonts w:ascii="Titillium Regular Upright" w:hAnsi="Titillium Regular Upright"/>
          <w:sz w:val="16"/>
          <w:szCs w:val="16"/>
          <w:lang w:val="en-US"/>
        </w:rPr>
      </w:pPr>
      <w:r w:rsidRPr="00417F55">
        <w:rPr>
          <w:rFonts w:ascii="Titillium Regular Upright" w:hAnsi="Titillium Regular Upright"/>
          <w:sz w:val="16"/>
          <w:szCs w:val="16"/>
          <w:lang w:val="en-US"/>
        </w:rPr>
        <w:t xml:space="preserve">The data controller is the University, in the persons of the Rector and the Director General, in relation to the specific skills. To contact the owner, you can send an email to the following address: ateneo@pec.unina.it; or to the Data Protection Officer: rdp@unina.it; PEC </w:t>
      </w:r>
      <w:hyperlink r:id="rId10" w:history="1">
        <w:r w:rsidRPr="00417F55">
          <w:rPr>
            <w:rStyle w:val="Collegamentoipertestuale"/>
            <w:rFonts w:ascii="Titillium Regular Upright" w:hAnsi="Titillium Regular Upright"/>
            <w:sz w:val="16"/>
            <w:szCs w:val="16"/>
            <w:lang w:val="en-US"/>
          </w:rPr>
          <w:t>rdp@pec.unina.it</w:t>
        </w:r>
      </w:hyperlink>
    </w:p>
    <w:bookmarkEnd w:id="2"/>
    <w:bookmarkEnd w:id="3"/>
    <w:p w14:paraId="7EA9CD91" w14:textId="77777777" w:rsidR="00376402" w:rsidRPr="00417F55" w:rsidRDefault="00844A3C" w:rsidP="00FE701F">
      <w:pPr>
        <w:jc w:val="both"/>
        <w:rPr>
          <w:rFonts w:ascii="Titillium Regular Upright" w:hAnsi="Titillium Regular Upright"/>
          <w:sz w:val="16"/>
          <w:szCs w:val="16"/>
          <w:lang w:val="en-US"/>
        </w:rPr>
      </w:pPr>
      <w:r w:rsidRPr="00417F55">
        <w:rPr>
          <w:rFonts w:ascii="Titillium Regular Upright" w:hAnsi="Titillium Regular Upright"/>
          <w:sz w:val="16"/>
          <w:szCs w:val="16"/>
          <w:lang w:val="en-US"/>
        </w:rPr>
        <w:t>Complete information relating to the processing of personal data collected is given on the University website:</w:t>
      </w:r>
    </w:p>
    <w:p w14:paraId="48CAC83A" w14:textId="57A20BC1" w:rsidR="00FE701F" w:rsidRPr="00417F55" w:rsidRDefault="00844A3C" w:rsidP="00FE701F">
      <w:pPr>
        <w:jc w:val="both"/>
        <w:rPr>
          <w:rFonts w:ascii="Titillium Regular Upright" w:hAnsi="Titillium Regular Upright" w:cs="Arial"/>
          <w:sz w:val="20"/>
          <w:szCs w:val="20"/>
          <w:lang w:val="en-US"/>
        </w:rPr>
      </w:pPr>
      <w:r w:rsidRPr="00417F55">
        <w:rPr>
          <w:rFonts w:ascii="Titillium Regular Upright" w:hAnsi="Titillium Regular Upright"/>
          <w:sz w:val="16"/>
          <w:szCs w:val="16"/>
          <w:lang w:val="en-US"/>
        </w:rPr>
        <w:t>http://www.unina.it/ateneo/statuto-e-normativa/privacy.</w:t>
      </w:r>
    </w:p>
    <w:p w14:paraId="03C6B5DE" w14:textId="6F1618B2" w:rsidR="006F4122" w:rsidRPr="00417F55" w:rsidRDefault="000546D1" w:rsidP="00FE701F">
      <w:pPr>
        <w:jc w:val="both"/>
        <w:rPr>
          <w:rFonts w:ascii="Titillium Regular Upright" w:hAnsi="Titillium Regular Upright" w:cs="Arial"/>
          <w:sz w:val="20"/>
          <w:szCs w:val="20"/>
          <w:lang w:val="en-US"/>
        </w:rPr>
      </w:pP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lang w:val="en-US"/>
        </w:rPr>
        <w:tab/>
        <w:t xml:space="preserve">                                  </w:t>
      </w: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lang w:val="en-US"/>
        </w:rPr>
        <w:tab/>
      </w:r>
      <w:r w:rsidRPr="00417F55">
        <w:rPr>
          <w:rFonts w:ascii="Titillium Regular Upright" w:hAnsi="Titillium Regular Upright"/>
          <w:b/>
          <w:lang w:val="en-US"/>
        </w:rPr>
        <w:t xml:space="preserve">  </w:t>
      </w:r>
      <w:r w:rsidRPr="00417F55">
        <w:rPr>
          <w:rFonts w:ascii="Titillium Regular Upright" w:hAnsi="Titillium Regular Upright"/>
          <w:b/>
          <w:lang w:val="en-US"/>
        </w:rPr>
        <w:tab/>
      </w:r>
      <w:r w:rsidRPr="00417F55">
        <w:rPr>
          <w:rFonts w:ascii="Titillium Regular Upright" w:hAnsi="Titillium Regular Upright"/>
          <w:b/>
          <w:lang w:val="en-US"/>
        </w:rPr>
        <w:tab/>
      </w:r>
      <w:r w:rsidRPr="00417F55">
        <w:rPr>
          <w:rFonts w:ascii="Titillium Regular Upright" w:hAnsi="Titillium Regular Upright"/>
          <w:b/>
          <w:lang w:val="en-US"/>
        </w:rPr>
        <w:tab/>
      </w:r>
      <w:r w:rsidRPr="00417F55">
        <w:rPr>
          <w:rFonts w:ascii="Titillium Regular Upright" w:hAnsi="Titillium Regular Upright"/>
          <w:b/>
          <w:lang w:val="en-US"/>
        </w:rPr>
        <w:tab/>
      </w:r>
      <w:r w:rsidRPr="00417F55">
        <w:rPr>
          <w:rFonts w:ascii="Titillium Regular Upright" w:hAnsi="Titillium Regular Upright"/>
          <w:b/>
          <w:lang w:val="en-US"/>
        </w:rPr>
        <w:tab/>
      </w:r>
      <w:r w:rsidRPr="00417F55">
        <w:rPr>
          <w:rFonts w:ascii="Titillium Regular Upright" w:hAnsi="Titillium Regular Upright"/>
          <w:b/>
          <w:lang w:val="en-US"/>
        </w:rPr>
        <w:tab/>
        <w:t xml:space="preserve"> </w:t>
      </w:r>
    </w:p>
    <w:p w14:paraId="793BB79F" w14:textId="77777777" w:rsidR="00FE701F" w:rsidRPr="00417F55" w:rsidRDefault="00FE701F" w:rsidP="00FE701F">
      <w:pPr>
        <w:jc w:val="both"/>
        <w:rPr>
          <w:rFonts w:ascii="Titillium Regular Upright" w:hAnsi="Titillium Regular Upright" w:cs="Arial"/>
          <w:b/>
          <w:bCs/>
          <w:sz w:val="20"/>
          <w:szCs w:val="20"/>
          <w:lang w:val="en-US"/>
        </w:rPr>
      </w:pPr>
      <w:r w:rsidRPr="00417F55">
        <w:rPr>
          <w:rFonts w:ascii="Titillium Regular Upright" w:hAnsi="Titillium Regular Upright" w:cs="Arial"/>
          <w:sz w:val="20"/>
          <w:szCs w:val="20"/>
          <w:lang w:val="en-US"/>
        </w:rPr>
        <w:t xml:space="preserve">                                                                 </w:t>
      </w:r>
      <w:bookmarkEnd w:id="1"/>
    </w:p>
    <w:sectPr w:rsidR="00FE701F" w:rsidRPr="00417F55" w:rsidSect="00DB2248">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FC97" w14:textId="77777777" w:rsidR="00965E1D" w:rsidRDefault="00965E1D">
      <w:r>
        <w:separator/>
      </w:r>
    </w:p>
  </w:endnote>
  <w:endnote w:type="continuationSeparator" w:id="0">
    <w:p w14:paraId="6F772493" w14:textId="77777777" w:rsidR="00965E1D" w:rsidRDefault="00965E1D">
      <w:r>
        <w:continuationSeparator/>
      </w:r>
    </w:p>
  </w:endnote>
  <w:endnote w:id="1">
    <w:p w14:paraId="7635AE05" w14:textId="1E99D7E6" w:rsidR="00376402" w:rsidRPr="00DD7A42" w:rsidRDefault="00376402">
      <w:pPr>
        <w:pStyle w:val="Testonotadichiusura"/>
        <w:rPr>
          <w:rFonts w:ascii="Titillium Regular Upright" w:hAnsi="Titillium Regular Upright"/>
          <w:lang w:val="en-US"/>
        </w:rPr>
      </w:pPr>
      <w:r w:rsidRPr="00DD7A42">
        <w:rPr>
          <w:rStyle w:val="Rimandonotadichiusura"/>
          <w:rFonts w:ascii="Titillium Regular Upright" w:hAnsi="Titillium Regular Upright"/>
        </w:rPr>
        <w:endnoteRef/>
      </w:r>
      <w:r w:rsidRPr="00DD7A42">
        <w:rPr>
          <w:rFonts w:ascii="Titillium Regular Upright" w:hAnsi="Titillium Regular Upright"/>
          <w:lang w:val="en-US"/>
        </w:rPr>
        <w:t xml:space="preserve"> </w:t>
      </w:r>
      <w:r w:rsidR="005B4603" w:rsidRPr="00DD7A42">
        <w:rPr>
          <w:rFonts w:ascii="Titillium Regular Upright" w:hAnsi="Titillium Regular Upright"/>
          <w:lang w:val="en-US"/>
        </w:rPr>
        <w:t>"family members living together" means "anyone who lives" with the subjects referred to in art. 85 of Legislative Decree 159/2011.</w:t>
      </w:r>
    </w:p>
  </w:endnote>
  <w:endnote w:id="2">
    <w:p w14:paraId="364A3BB4" w14:textId="203EBABA" w:rsidR="00376402" w:rsidRPr="005B4603" w:rsidRDefault="00376402">
      <w:pPr>
        <w:pStyle w:val="Testonotadichiusura"/>
        <w:rPr>
          <w:lang w:val="en-US"/>
        </w:rPr>
      </w:pPr>
      <w:r w:rsidRPr="00DD7A42">
        <w:rPr>
          <w:rStyle w:val="Rimandonotadichiusura"/>
          <w:rFonts w:ascii="Titillium Regular Upright" w:hAnsi="Titillium Regular Upright"/>
        </w:rPr>
        <w:endnoteRef/>
      </w:r>
      <w:r w:rsidRPr="00DD7A42">
        <w:rPr>
          <w:rFonts w:ascii="Titillium Regular Upright" w:hAnsi="Titillium Regular Upright"/>
          <w:lang w:val="en-US"/>
        </w:rPr>
        <w:t xml:space="preserve"> </w:t>
      </w:r>
      <w:r w:rsidR="005B4603" w:rsidRPr="00DD7A42">
        <w:rPr>
          <w:rFonts w:ascii="Titillium Regular Upright" w:hAnsi="Titillium Regular Upright"/>
          <w:lang w:val="en-US"/>
        </w:rPr>
        <w:t>The self-declaration must be drawn up by all the subjects referred to in art. 85 of Legislative Decree 159/2011.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tillium">
    <w:panose1 w:val="020B0604020202020204"/>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400F" w14:textId="5D1E7025" w:rsidR="007E3553" w:rsidRPr="005B4603" w:rsidRDefault="007E3553" w:rsidP="00113796">
    <w:pPr>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82FE" w14:textId="77777777" w:rsidR="00965E1D" w:rsidRDefault="00965E1D">
      <w:r>
        <w:separator/>
      </w:r>
    </w:p>
  </w:footnote>
  <w:footnote w:type="continuationSeparator" w:id="0">
    <w:p w14:paraId="49614FCC" w14:textId="77777777" w:rsidR="00965E1D" w:rsidRDefault="0096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7D1"/>
    <w:multiLevelType w:val="hybridMultilevel"/>
    <w:tmpl w:val="7D3E3BD8"/>
    <w:lvl w:ilvl="0" w:tplc="04100011">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8B44B6E"/>
    <w:multiLevelType w:val="hybridMultilevel"/>
    <w:tmpl w:val="187E087C"/>
    <w:lvl w:ilvl="0" w:tplc="0410000F">
      <w:start w:val="14"/>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97E5E39"/>
    <w:multiLevelType w:val="hybridMultilevel"/>
    <w:tmpl w:val="930CA220"/>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num w:numId="1">
    <w:abstractNumId w:val="2"/>
  </w:num>
  <w:num w:numId="2">
    <w:abstractNumId w:val="2"/>
  </w:num>
  <w:num w:numId="3">
    <w:abstractNumId w:val="0"/>
  </w:num>
  <w:num w:numId="4">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1F"/>
    <w:rsid w:val="000301B2"/>
    <w:rsid w:val="000546D1"/>
    <w:rsid w:val="00073DF5"/>
    <w:rsid w:val="000830D5"/>
    <w:rsid w:val="000B183F"/>
    <w:rsid w:val="001106FF"/>
    <w:rsid w:val="00113796"/>
    <w:rsid w:val="001268EA"/>
    <w:rsid w:val="00133732"/>
    <w:rsid w:val="001337F7"/>
    <w:rsid w:val="00136132"/>
    <w:rsid w:val="001472C6"/>
    <w:rsid w:val="00152483"/>
    <w:rsid w:val="00160225"/>
    <w:rsid w:val="001709CA"/>
    <w:rsid w:val="00174272"/>
    <w:rsid w:val="00197F70"/>
    <w:rsid w:val="001C74FF"/>
    <w:rsid w:val="002264F7"/>
    <w:rsid w:val="002345A0"/>
    <w:rsid w:val="00260AE3"/>
    <w:rsid w:val="00280474"/>
    <w:rsid w:val="002E582F"/>
    <w:rsid w:val="002F4A1E"/>
    <w:rsid w:val="00314399"/>
    <w:rsid w:val="003178A2"/>
    <w:rsid w:val="00341826"/>
    <w:rsid w:val="00347870"/>
    <w:rsid w:val="00376402"/>
    <w:rsid w:val="00377371"/>
    <w:rsid w:val="003D2D42"/>
    <w:rsid w:val="003E4037"/>
    <w:rsid w:val="003F479E"/>
    <w:rsid w:val="00404DAC"/>
    <w:rsid w:val="00417F55"/>
    <w:rsid w:val="00427563"/>
    <w:rsid w:val="0046325D"/>
    <w:rsid w:val="00475F5C"/>
    <w:rsid w:val="004B2413"/>
    <w:rsid w:val="004E64E8"/>
    <w:rsid w:val="0050217C"/>
    <w:rsid w:val="00551B29"/>
    <w:rsid w:val="00570496"/>
    <w:rsid w:val="00597B4E"/>
    <w:rsid w:val="005A3F6E"/>
    <w:rsid w:val="005A7E9B"/>
    <w:rsid w:val="005B4603"/>
    <w:rsid w:val="005D177A"/>
    <w:rsid w:val="006973E3"/>
    <w:rsid w:val="006C64ED"/>
    <w:rsid w:val="006C6AD7"/>
    <w:rsid w:val="006D5FD7"/>
    <w:rsid w:val="006E78AC"/>
    <w:rsid w:val="006F34D7"/>
    <w:rsid w:val="006F4122"/>
    <w:rsid w:val="00710C8D"/>
    <w:rsid w:val="00720319"/>
    <w:rsid w:val="007D4F4B"/>
    <w:rsid w:val="007E0CB8"/>
    <w:rsid w:val="007E3553"/>
    <w:rsid w:val="007E62FD"/>
    <w:rsid w:val="00806A89"/>
    <w:rsid w:val="00844A3C"/>
    <w:rsid w:val="0086332F"/>
    <w:rsid w:val="0087770D"/>
    <w:rsid w:val="008A4107"/>
    <w:rsid w:val="008B118D"/>
    <w:rsid w:val="00901DA5"/>
    <w:rsid w:val="0094124D"/>
    <w:rsid w:val="009423CD"/>
    <w:rsid w:val="00965E1D"/>
    <w:rsid w:val="009863ED"/>
    <w:rsid w:val="0099141D"/>
    <w:rsid w:val="00994277"/>
    <w:rsid w:val="00995F1A"/>
    <w:rsid w:val="009B444D"/>
    <w:rsid w:val="00A06AAD"/>
    <w:rsid w:val="00A244B1"/>
    <w:rsid w:val="00A274BE"/>
    <w:rsid w:val="00A3648D"/>
    <w:rsid w:val="00A41032"/>
    <w:rsid w:val="00A4406F"/>
    <w:rsid w:val="00A5777C"/>
    <w:rsid w:val="00A82FA3"/>
    <w:rsid w:val="00A93891"/>
    <w:rsid w:val="00A96B9F"/>
    <w:rsid w:val="00AA6306"/>
    <w:rsid w:val="00AA7371"/>
    <w:rsid w:val="00AB0A73"/>
    <w:rsid w:val="00AC4A63"/>
    <w:rsid w:val="00AF730E"/>
    <w:rsid w:val="00B469E0"/>
    <w:rsid w:val="00B502E3"/>
    <w:rsid w:val="00BA3182"/>
    <w:rsid w:val="00BA3F79"/>
    <w:rsid w:val="00BB445F"/>
    <w:rsid w:val="00BF73D1"/>
    <w:rsid w:val="00C31574"/>
    <w:rsid w:val="00C34A19"/>
    <w:rsid w:val="00C76047"/>
    <w:rsid w:val="00CD0A9E"/>
    <w:rsid w:val="00CD2D28"/>
    <w:rsid w:val="00CF0ECC"/>
    <w:rsid w:val="00D56492"/>
    <w:rsid w:val="00D5725F"/>
    <w:rsid w:val="00D60F60"/>
    <w:rsid w:val="00D67FC9"/>
    <w:rsid w:val="00DB2248"/>
    <w:rsid w:val="00DD7A42"/>
    <w:rsid w:val="00E429D4"/>
    <w:rsid w:val="00E456F2"/>
    <w:rsid w:val="00E6332F"/>
    <w:rsid w:val="00E66B45"/>
    <w:rsid w:val="00E8726D"/>
    <w:rsid w:val="00E93F11"/>
    <w:rsid w:val="00EA74DC"/>
    <w:rsid w:val="00EA7911"/>
    <w:rsid w:val="00EC443D"/>
    <w:rsid w:val="00F33273"/>
    <w:rsid w:val="00F36D9B"/>
    <w:rsid w:val="00F442ED"/>
    <w:rsid w:val="00F52BB8"/>
    <w:rsid w:val="00F77AC4"/>
    <w:rsid w:val="00F80326"/>
    <w:rsid w:val="00F8530A"/>
    <w:rsid w:val="00F8762E"/>
    <w:rsid w:val="00FD0F35"/>
    <w:rsid w:val="00FD5BFA"/>
    <w:rsid w:val="00FE701F"/>
    <w:rsid w:val="00FF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31392"/>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E701F"/>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FE701F"/>
    <w:pPr>
      <w:autoSpaceDE w:val="0"/>
      <w:autoSpaceDN w:val="0"/>
      <w:spacing w:line="360" w:lineRule="auto"/>
      <w:ind w:left="284" w:hanging="284"/>
      <w:jc w:val="both"/>
    </w:pPr>
    <w:rPr>
      <w:rFonts w:ascii="Courier New" w:hAnsi="Courier New" w:cs="Courier New"/>
    </w:rPr>
  </w:style>
  <w:style w:type="paragraph" w:styleId="Intestazione">
    <w:name w:val="header"/>
    <w:basedOn w:val="Normale"/>
    <w:link w:val="IntestazioneCarattere"/>
    <w:rsid w:val="00113796"/>
    <w:pPr>
      <w:tabs>
        <w:tab w:val="center" w:pos="4819"/>
        <w:tab w:val="right" w:pos="9638"/>
      </w:tabs>
    </w:pPr>
  </w:style>
  <w:style w:type="paragraph" w:styleId="Pidipagina">
    <w:name w:val="footer"/>
    <w:basedOn w:val="Normale"/>
    <w:rsid w:val="00113796"/>
    <w:pPr>
      <w:tabs>
        <w:tab w:val="center" w:pos="4819"/>
        <w:tab w:val="right" w:pos="9638"/>
      </w:tabs>
    </w:pPr>
  </w:style>
  <w:style w:type="character" w:styleId="Rimandocommento">
    <w:name w:val="annotation reference"/>
    <w:semiHidden/>
    <w:rsid w:val="00A244B1"/>
    <w:rPr>
      <w:sz w:val="16"/>
      <w:szCs w:val="16"/>
    </w:rPr>
  </w:style>
  <w:style w:type="paragraph" w:styleId="Testocommento">
    <w:name w:val="annotation text"/>
    <w:basedOn w:val="Normale"/>
    <w:semiHidden/>
    <w:rsid w:val="00A244B1"/>
    <w:rPr>
      <w:sz w:val="20"/>
      <w:szCs w:val="20"/>
    </w:rPr>
  </w:style>
  <w:style w:type="paragraph" w:styleId="Soggettocommento">
    <w:name w:val="annotation subject"/>
    <w:basedOn w:val="Testocommento"/>
    <w:next w:val="Testocommento"/>
    <w:semiHidden/>
    <w:rsid w:val="00A244B1"/>
    <w:rPr>
      <w:b/>
      <w:bCs/>
    </w:rPr>
  </w:style>
  <w:style w:type="paragraph" w:styleId="Testofumetto">
    <w:name w:val="Balloon Text"/>
    <w:basedOn w:val="Normale"/>
    <w:semiHidden/>
    <w:rsid w:val="00A244B1"/>
    <w:rPr>
      <w:rFonts w:ascii="Tahoma" w:hAnsi="Tahoma" w:cs="Tahoma"/>
      <w:sz w:val="16"/>
      <w:szCs w:val="16"/>
    </w:rPr>
  </w:style>
  <w:style w:type="paragraph" w:styleId="Paragrafoelenco">
    <w:name w:val="List Paragraph"/>
    <w:basedOn w:val="Normale"/>
    <w:uiPriority w:val="34"/>
    <w:qFormat/>
    <w:rsid w:val="006F4122"/>
    <w:pPr>
      <w:ind w:left="708"/>
    </w:pPr>
  </w:style>
  <w:style w:type="character" w:customStyle="1" w:styleId="IntestazioneCarattere">
    <w:name w:val="Intestazione Carattere"/>
    <w:link w:val="Intestazione"/>
    <w:locked/>
    <w:rsid w:val="00806A89"/>
    <w:rPr>
      <w:sz w:val="24"/>
      <w:szCs w:val="24"/>
      <w:lang w:val="it-IT" w:eastAsia="it-IT"/>
    </w:rPr>
  </w:style>
  <w:style w:type="character" w:styleId="Collegamentoipertestuale">
    <w:name w:val="Hyperlink"/>
    <w:uiPriority w:val="99"/>
    <w:unhideWhenUsed/>
    <w:rsid w:val="00197F70"/>
    <w:rPr>
      <w:color w:val="0563C1"/>
      <w:u w:val="single"/>
    </w:rPr>
  </w:style>
  <w:style w:type="paragraph" w:customStyle="1" w:styleId="Default">
    <w:name w:val="Default"/>
    <w:rsid w:val="007D4F4B"/>
    <w:pPr>
      <w:autoSpaceDE w:val="0"/>
      <w:autoSpaceDN w:val="0"/>
      <w:adjustRightInd w:val="0"/>
    </w:pPr>
    <w:rPr>
      <w:rFonts w:eastAsiaTheme="minorHAnsi"/>
      <w:color w:val="000000"/>
      <w:sz w:val="24"/>
      <w:szCs w:val="24"/>
    </w:rPr>
  </w:style>
  <w:style w:type="character" w:styleId="Menzionenonrisolta">
    <w:name w:val="Unresolved Mention"/>
    <w:basedOn w:val="Carpredefinitoparagrafo"/>
    <w:uiPriority w:val="99"/>
    <w:semiHidden/>
    <w:unhideWhenUsed/>
    <w:rsid w:val="00844A3C"/>
    <w:rPr>
      <w:color w:val="605E5C"/>
      <w:shd w:val="clear" w:color="auto" w:fill="E1DFDD"/>
    </w:rPr>
  </w:style>
  <w:style w:type="paragraph" w:styleId="Testonotaapidipagina">
    <w:name w:val="footnote text"/>
    <w:basedOn w:val="Normale"/>
    <w:link w:val="TestonotaapidipaginaCarattere"/>
    <w:rsid w:val="00376402"/>
    <w:rPr>
      <w:sz w:val="20"/>
      <w:szCs w:val="20"/>
    </w:rPr>
  </w:style>
  <w:style w:type="character" w:customStyle="1" w:styleId="TestonotaapidipaginaCarattere">
    <w:name w:val="Testo nota a piè di pagina Carattere"/>
    <w:basedOn w:val="Carpredefinitoparagrafo"/>
    <w:link w:val="Testonotaapidipagina"/>
    <w:rsid w:val="00376402"/>
    <w:rPr>
      <w:lang w:val="it-IT" w:eastAsia="it-IT"/>
    </w:rPr>
  </w:style>
  <w:style w:type="character" w:styleId="Rimandonotaapidipagina">
    <w:name w:val="footnote reference"/>
    <w:basedOn w:val="Carpredefinitoparagrafo"/>
    <w:rsid w:val="00376402"/>
    <w:rPr>
      <w:vertAlign w:val="superscript"/>
    </w:rPr>
  </w:style>
  <w:style w:type="paragraph" w:styleId="Testonotadichiusura">
    <w:name w:val="endnote text"/>
    <w:basedOn w:val="Normale"/>
    <w:link w:val="TestonotadichiusuraCarattere"/>
    <w:rsid w:val="00376402"/>
    <w:rPr>
      <w:sz w:val="20"/>
      <w:szCs w:val="20"/>
    </w:rPr>
  </w:style>
  <w:style w:type="character" w:customStyle="1" w:styleId="TestonotadichiusuraCarattere">
    <w:name w:val="Testo nota di chiusura Carattere"/>
    <w:basedOn w:val="Carpredefinitoparagrafo"/>
    <w:link w:val="Testonotadichiusura"/>
    <w:rsid w:val="00376402"/>
    <w:rPr>
      <w:lang w:val="it-IT" w:eastAsia="it-IT"/>
    </w:rPr>
  </w:style>
  <w:style w:type="character" w:styleId="Rimandonotadichiusura">
    <w:name w:val="endnote reference"/>
    <w:basedOn w:val="Carpredefinitoparagrafo"/>
    <w:rsid w:val="00376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773">
      <w:bodyDiv w:val="1"/>
      <w:marLeft w:val="0"/>
      <w:marRight w:val="0"/>
      <w:marTop w:val="0"/>
      <w:marBottom w:val="0"/>
      <w:divBdr>
        <w:top w:val="none" w:sz="0" w:space="0" w:color="auto"/>
        <w:left w:val="none" w:sz="0" w:space="0" w:color="auto"/>
        <w:bottom w:val="none" w:sz="0" w:space="0" w:color="auto"/>
        <w:right w:val="none" w:sz="0" w:space="0" w:color="auto"/>
      </w:divBdr>
    </w:div>
    <w:div w:id="430324030">
      <w:bodyDiv w:val="1"/>
      <w:marLeft w:val="0"/>
      <w:marRight w:val="0"/>
      <w:marTop w:val="0"/>
      <w:marBottom w:val="0"/>
      <w:divBdr>
        <w:top w:val="none" w:sz="0" w:space="0" w:color="auto"/>
        <w:left w:val="none" w:sz="0" w:space="0" w:color="auto"/>
        <w:bottom w:val="none" w:sz="0" w:space="0" w:color="auto"/>
        <w:right w:val="none" w:sz="0" w:space="0" w:color="auto"/>
      </w:divBdr>
    </w:div>
    <w:div w:id="711541219">
      <w:bodyDiv w:val="1"/>
      <w:marLeft w:val="0"/>
      <w:marRight w:val="0"/>
      <w:marTop w:val="0"/>
      <w:marBottom w:val="0"/>
      <w:divBdr>
        <w:top w:val="none" w:sz="0" w:space="0" w:color="auto"/>
        <w:left w:val="none" w:sz="0" w:space="0" w:color="auto"/>
        <w:bottom w:val="none" w:sz="0" w:space="0" w:color="auto"/>
        <w:right w:val="none" w:sz="0" w:space="0" w:color="auto"/>
      </w:divBdr>
    </w:div>
    <w:div w:id="13768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dp@pec.unina.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82A9-1CAB-CE48-9321-B1197BDF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vt:lpstr>
    </vt:vector>
  </TitlesOfParts>
  <Company>Ministero</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Ministero Interno</dc:creator>
  <cp:keywords/>
  <cp:lastModifiedBy>Utente di Microsoft Office</cp:lastModifiedBy>
  <cp:revision>10</cp:revision>
  <cp:lastPrinted>2013-05-15T15:16:00Z</cp:lastPrinted>
  <dcterms:created xsi:type="dcterms:W3CDTF">2023-02-22T16:19:00Z</dcterms:created>
  <dcterms:modified xsi:type="dcterms:W3CDTF">2023-10-09T15:24:00Z</dcterms:modified>
</cp:coreProperties>
</file>